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1034A9" w:rsidP="00087A9D">
            <w:pPr>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1034A9">
            <w:pPr>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"Основные на</w:t>
            </w:r>
            <w:bookmarkStart w:id="0" w:name="_GoBack"/>
            <w:bookmarkEnd w:id="0"/>
            <w:r>
              <w:rPr>
                <w:rFonts w:ascii="Tahoma" w:hAnsi="Tahoma" w:cs="Tahoma"/>
                <w:sz w:val="48"/>
                <w:szCs w:val="48"/>
              </w:rPr>
              <w:t>пр</w:t>
            </w:r>
            <w:r>
              <w:rPr>
                <w:rFonts w:ascii="Tahoma" w:hAnsi="Tahoma" w:cs="Tahoma"/>
                <w:sz w:val="48"/>
                <w:szCs w:val="48"/>
              </w:rPr>
              <w:t>а</w:t>
            </w:r>
            <w:r>
              <w:rPr>
                <w:rFonts w:ascii="Tahoma" w:hAnsi="Tahoma" w:cs="Tahoma"/>
                <w:sz w:val="48"/>
                <w:szCs w:val="48"/>
              </w:rPr>
              <w:t>вления налоговой политики Российской Федерации на 2012 год и на плановый период 2013 и 2014 годов"(одобрено Правительством РФ 07.07.2011)</w:t>
            </w:r>
          </w:p>
          <w:p w:rsidR="00000000" w:rsidRDefault="001034A9">
            <w:pPr>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1034A9" w:rsidP="00087A9D">
            <w:pPr>
              <w:autoSpaceDE w:val="0"/>
              <w:autoSpaceDN w:val="0"/>
              <w:adjustRightInd w:val="0"/>
              <w:spacing w:after="0" w:line="240" w:lineRule="auto"/>
              <w:jc w:val="center"/>
              <w:rPr>
                <w:rFonts w:ascii="Tahoma" w:hAnsi="Tahoma" w:cs="Tahoma"/>
                <w:sz w:val="28"/>
                <w:szCs w:val="28"/>
              </w:rPr>
            </w:pPr>
          </w:p>
        </w:tc>
      </w:tr>
    </w:tbl>
    <w:p w:rsidR="00000000" w:rsidRDefault="001034A9">
      <w:pPr>
        <w:autoSpaceDE w:val="0"/>
        <w:autoSpaceDN w:val="0"/>
        <w:adjustRightInd w:val="0"/>
        <w:spacing w:after="0" w:line="240" w:lineRule="auto"/>
        <w:rPr>
          <w:rFonts w:ascii="Tahoma" w:hAnsi="Tahoma" w:cs="Tahoma"/>
          <w:sz w:val="28"/>
          <w:szCs w:val="28"/>
        </w:rPr>
      </w:pPr>
    </w:p>
    <w:p w:rsidR="00000000" w:rsidRDefault="001034A9">
      <w:pPr>
        <w:autoSpaceDE w:val="0"/>
        <w:autoSpaceDN w:val="0"/>
        <w:adjustRightInd w:val="0"/>
        <w:spacing w:after="0" w:line="240" w:lineRule="auto"/>
        <w:rPr>
          <w:rFonts w:ascii="Tahoma" w:hAnsi="Tahoma" w:cs="Tahoma"/>
          <w:sz w:val="28"/>
          <w:szCs w:val="28"/>
        </w:rPr>
        <w:sectPr w:rsidR="00000000">
          <w:type w:val="continuous"/>
          <w:pgSz w:w="11906" w:h="16838"/>
          <w:pgMar w:top="100" w:right="595" w:bottom="10" w:left="595" w:header="0" w:footer="0" w:gutter="0"/>
          <w:cols w:space="720"/>
          <w:noEndnote/>
          <w:titlePg/>
        </w:sectPr>
      </w:pPr>
    </w:p>
    <w:p w:rsidR="00000000" w:rsidRDefault="001034A9">
      <w:pPr>
        <w:pStyle w:val="ConsPlusNormal"/>
        <w:widowControl/>
        <w:ind w:firstLine="0"/>
        <w:jc w:val="both"/>
      </w:pPr>
    </w:p>
    <w:p w:rsidR="00000000" w:rsidRDefault="001034A9">
      <w:pPr>
        <w:pStyle w:val="ConsPlusTitle"/>
        <w:widowControl/>
        <w:jc w:val="center"/>
      </w:pPr>
      <w:r>
        <w:t>ОСНОВНЫЕ НАПРАВЛЕНИЯ</w:t>
      </w:r>
    </w:p>
    <w:p w:rsidR="00000000" w:rsidRDefault="001034A9">
      <w:pPr>
        <w:pStyle w:val="ConsPlusTitle"/>
        <w:widowControl/>
        <w:jc w:val="center"/>
      </w:pPr>
      <w:r>
        <w:t>НАЛОГОВОЙ ПОЛИТИКИ РОССИЙСКОЙ ФЕДЕРАЦИИ НА 2012 ГОД</w:t>
      </w:r>
    </w:p>
    <w:p w:rsidR="00000000" w:rsidRDefault="001034A9">
      <w:pPr>
        <w:pStyle w:val="ConsPlusTitle"/>
        <w:widowControl/>
        <w:jc w:val="center"/>
      </w:pPr>
      <w:r>
        <w:t>И НА ПЛАНОВЫЙ ПЕРИОД 2013 И 2014 ГОДОВ</w:t>
      </w:r>
    </w:p>
    <w:p w:rsidR="00000000" w:rsidRDefault="001034A9">
      <w:pPr>
        <w:pStyle w:val="ConsPlusNormal"/>
        <w:widowControl/>
        <w:ind w:firstLine="540"/>
        <w:jc w:val="both"/>
      </w:pPr>
    </w:p>
    <w:p w:rsidR="00000000" w:rsidRDefault="001034A9">
      <w:pPr>
        <w:pStyle w:val="ConsPlusNormal"/>
        <w:widowControl/>
        <w:ind w:firstLine="540"/>
        <w:jc w:val="both"/>
      </w:pPr>
      <w:r>
        <w:t>Основные направления налоговой политики Российской Федерации на 2012 год и на плановый период 2013 и 2014 годов (далее - Основные направления налоговой политики) подготовлены в рамках составления проекта федерального</w:t>
      </w:r>
      <w:r>
        <w:t xml:space="preserve"> бюджета на очередной финансовый год и двухлетний плановый период. Основные направления налоговой политики являются одним из документов, который необходимо учитывать в процессе бюджетного проектирования как при планировании федерального бюджета, так и при </w:t>
      </w:r>
      <w:r>
        <w:t>подготовке проектов бюджетов субъектов Российской Федерации.</w:t>
      </w:r>
    </w:p>
    <w:p w:rsidR="00000000" w:rsidRDefault="001034A9">
      <w:pPr>
        <w:pStyle w:val="ConsPlusNormal"/>
        <w:widowControl/>
        <w:ind w:firstLine="540"/>
        <w:jc w:val="both"/>
      </w:pPr>
      <w:r>
        <w:t>Помимо решения задач в области бюджетного планирования Основные направления налоговой политики позволяют экономическим агентам определить ориентиры в налоговой сфере на трехлетний период, что дол</w:t>
      </w:r>
      <w:r>
        <w:t>жно способствовать стабильности и определенности условий ведения экономической деятельности на территории Российской Федерации. Несмотря на то, что Основные направления налоговой политики не являются нормативным правовым актом, этот документ представляет с</w:t>
      </w:r>
      <w:r>
        <w:t>обой основание для внесения изменений в законодательство о налогах и сборах, которые разрабатываются в соответствии с предусмотренными в нем положениями. Такой порядок приводит к увеличению прозрачности и прогнозируемости налоговой политики государства. Пр</w:t>
      </w:r>
      <w:r>
        <w:t>едсказуемость действий государственных органов в налоговой сфере - ключевое значение для инвесторов, принимающих долгосрочные инвестиционные решения.</w:t>
      </w:r>
    </w:p>
    <w:p w:rsidR="00000000" w:rsidRDefault="001034A9">
      <w:pPr>
        <w:pStyle w:val="ConsPlusNormal"/>
        <w:widowControl/>
        <w:ind w:firstLine="540"/>
        <w:jc w:val="both"/>
      </w:pPr>
      <w:r>
        <w:t>В трехлетней перспективе 2012 - 2014 годов приоритеты Правительства Российской Федерации в области налогов</w:t>
      </w:r>
      <w:r>
        <w:t>ой политики остаются такими же, как и ранее - создание эффективной и стабильной налоговой системы, обеспечивающей бюджетную устойчивость в среднесрочной и долгосрочной перспективе. Основными целями налоговой политики продолжают оставаться поддержка инновац</w:t>
      </w:r>
      <w:r>
        <w:t>ионной деятельности, в том числе и путем предоставления новых льгот, направленных на ее стимулирование, а также поддержка инвестиций в области образования и здравоохранения.</w:t>
      </w:r>
    </w:p>
    <w:p w:rsidR="00000000" w:rsidRDefault="001034A9">
      <w:pPr>
        <w:pStyle w:val="ConsPlusNormal"/>
        <w:widowControl/>
        <w:ind w:firstLine="540"/>
        <w:jc w:val="both"/>
      </w:pPr>
      <w:r>
        <w:t>Важнейшим фактором проводимой налоговой политики является необходимость поддержани</w:t>
      </w:r>
      <w:r>
        <w:t>я сбалансированности бюджетной системы. Налоговая политика ближайших лет будет проводиться в условиях дефицита федерального бюджета. Достижение в среднесрочной перспективе сбалансированности федерального бюджета при разумных прогнозных оценках стоимости не</w:t>
      </w:r>
      <w:r>
        <w:t>фти, предусмотренное Бюджетным посланием Президента Российской Федерации о бюджетной политике в 2011 - 2013 годах, возможно лишь при постепенном увеличении доходов бюджетной системы, не обусловленных напрямую мировыми ценами на нефть. В то же время необход</w:t>
      </w:r>
      <w:r>
        <w:t>имо сохранить неизменность налоговой нагрузки по секторам экономики, в которых достигнут ее оптимальный уровень с учетом требований сбалансированности бюджетной системы.</w:t>
      </w:r>
    </w:p>
    <w:p w:rsidR="00000000" w:rsidRDefault="001034A9">
      <w:pPr>
        <w:pStyle w:val="ConsPlusNormal"/>
        <w:widowControl/>
        <w:ind w:firstLine="540"/>
        <w:jc w:val="both"/>
      </w:pPr>
    </w:p>
    <w:p w:rsidR="00000000" w:rsidRDefault="001034A9">
      <w:pPr>
        <w:pStyle w:val="ConsPlusNormal"/>
        <w:widowControl/>
        <w:ind w:firstLine="540"/>
        <w:jc w:val="both"/>
        <w:outlineLvl w:val="0"/>
      </w:pPr>
      <w:r>
        <w:t>I. Основные итоги реализации налоговой политики в прошедшем периоде</w:t>
      </w:r>
    </w:p>
    <w:p w:rsidR="00000000" w:rsidRDefault="001034A9">
      <w:pPr>
        <w:pStyle w:val="ConsPlusNormal"/>
        <w:widowControl/>
        <w:ind w:firstLine="540"/>
        <w:jc w:val="both"/>
      </w:pPr>
    </w:p>
    <w:p w:rsidR="00000000" w:rsidRDefault="001034A9">
      <w:pPr>
        <w:pStyle w:val="ConsPlusNormal"/>
        <w:widowControl/>
        <w:ind w:firstLine="540"/>
        <w:jc w:val="both"/>
      </w:pPr>
      <w:r>
        <w:t>Реализация целей</w:t>
      </w:r>
      <w:r>
        <w:t xml:space="preserve"> и задач, предусмотренных "Основными направлениями налоговой политики на 2010 год и плановый период 2011 и 2012 годов" и "Основными направлениями налоговой политики на 2011 год и плановый период 2012 и 2013 годов", проводилась во взаимосвязи с Основными на</w:t>
      </w:r>
      <w:r>
        <w:t>правлениями антикризисных действий Правительства Российской Федерации на 2010 год и Основными направлениями деятельности Правительства Российской Федерации на период до 2012 года.</w:t>
      </w:r>
    </w:p>
    <w:p w:rsidR="00000000" w:rsidRDefault="001034A9">
      <w:pPr>
        <w:pStyle w:val="ConsPlusNormal"/>
        <w:widowControl/>
        <w:ind w:firstLine="540"/>
        <w:jc w:val="both"/>
      </w:pPr>
      <w:r>
        <w:t>Основными направлениями налоговой политики на 2011 год и плановый период 201</w:t>
      </w:r>
      <w:r>
        <w:t>2 и 2013 годов, одобренными в 2010 году, предусматривалось внесение изменений в законодательство о налогах и сборах по следующим направлениям:</w:t>
      </w:r>
    </w:p>
    <w:p w:rsidR="00000000" w:rsidRDefault="001034A9">
      <w:pPr>
        <w:pStyle w:val="ConsPlusNormal"/>
        <w:widowControl/>
        <w:ind w:firstLine="540"/>
        <w:jc w:val="both"/>
      </w:pPr>
      <w:r>
        <w:t>1. Налоговое стимулирование инновационной деятельности.</w:t>
      </w:r>
    </w:p>
    <w:p w:rsidR="00000000" w:rsidRDefault="001034A9">
      <w:pPr>
        <w:pStyle w:val="ConsPlusNormal"/>
        <w:widowControl/>
        <w:ind w:firstLine="540"/>
        <w:jc w:val="both"/>
      </w:pPr>
      <w:r>
        <w:t>2. Налог на прибыль организаций.</w:t>
      </w:r>
    </w:p>
    <w:p w:rsidR="00000000" w:rsidRDefault="001034A9">
      <w:pPr>
        <w:pStyle w:val="ConsPlusNormal"/>
        <w:widowControl/>
        <w:ind w:firstLine="540"/>
        <w:jc w:val="both"/>
      </w:pPr>
      <w:r>
        <w:t xml:space="preserve">3. Налог на добавленную </w:t>
      </w:r>
      <w:r>
        <w:t>стоимость.</w:t>
      </w:r>
    </w:p>
    <w:p w:rsidR="00000000" w:rsidRDefault="001034A9">
      <w:pPr>
        <w:pStyle w:val="ConsPlusNormal"/>
        <w:widowControl/>
        <w:ind w:firstLine="540"/>
        <w:jc w:val="both"/>
      </w:pPr>
      <w:r>
        <w:t>4. Акцизное налогообложение.</w:t>
      </w:r>
    </w:p>
    <w:p w:rsidR="00000000" w:rsidRDefault="001034A9">
      <w:pPr>
        <w:pStyle w:val="ConsPlusNormal"/>
        <w:widowControl/>
        <w:ind w:firstLine="540"/>
        <w:jc w:val="both"/>
      </w:pPr>
      <w:r>
        <w:t>5. Введение налога на недвижимость.</w:t>
      </w:r>
    </w:p>
    <w:p w:rsidR="00000000" w:rsidRDefault="001034A9">
      <w:pPr>
        <w:pStyle w:val="ConsPlusNormal"/>
        <w:widowControl/>
        <w:ind w:firstLine="540"/>
        <w:jc w:val="both"/>
      </w:pPr>
      <w:r>
        <w:t>6. Налогообложение имущества (в том числе земельных участков).</w:t>
      </w:r>
    </w:p>
    <w:p w:rsidR="00000000" w:rsidRDefault="001034A9">
      <w:pPr>
        <w:pStyle w:val="ConsPlusNormal"/>
        <w:widowControl/>
        <w:ind w:firstLine="540"/>
        <w:jc w:val="both"/>
      </w:pPr>
      <w:r>
        <w:t>7. Налог на добычу полезных ископаемых.</w:t>
      </w:r>
    </w:p>
    <w:p w:rsidR="00000000" w:rsidRDefault="001034A9">
      <w:pPr>
        <w:pStyle w:val="ConsPlusNormal"/>
        <w:widowControl/>
        <w:ind w:firstLine="540"/>
        <w:jc w:val="both"/>
      </w:pPr>
      <w:r>
        <w:t>8. Водный налог.</w:t>
      </w:r>
    </w:p>
    <w:p w:rsidR="00000000" w:rsidRDefault="001034A9">
      <w:pPr>
        <w:pStyle w:val="ConsPlusNormal"/>
        <w:widowControl/>
        <w:ind w:firstLine="540"/>
        <w:jc w:val="both"/>
      </w:pPr>
      <w:r>
        <w:lastRenderedPageBreak/>
        <w:t>9. Налогообложение в рамках специальных налоговых режимов.</w:t>
      </w:r>
    </w:p>
    <w:p w:rsidR="00000000" w:rsidRDefault="001034A9">
      <w:pPr>
        <w:pStyle w:val="ConsPlusNormal"/>
        <w:widowControl/>
        <w:ind w:firstLine="540"/>
        <w:jc w:val="both"/>
      </w:pPr>
      <w:r>
        <w:t>1</w:t>
      </w:r>
      <w:r>
        <w:t>0. Налоговое администрирование.</w:t>
      </w:r>
    </w:p>
    <w:p w:rsidR="00000000" w:rsidRDefault="001034A9">
      <w:pPr>
        <w:pStyle w:val="ConsPlusNormal"/>
        <w:widowControl/>
        <w:ind w:firstLine="540"/>
        <w:jc w:val="both"/>
      </w:pPr>
      <w:r>
        <w:t>11. Упрощение администрирования налогообложения физических лиц.</w:t>
      </w:r>
    </w:p>
    <w:p w:rsidR="00000000" w:rsidRDefault="001034A9">
      <w:pPr>
        <w:pStyle w:val="ConsPlusNormal"/>
        <w:widowControl/>
        <w:ind w:firstLine="540"/>
        <w:jc w:val="both"/>
      </w:pPr>
      <w:r>
        <w:t>12. Международное сотрудничество, интеграция в международные организации и соглашения, информационный обмен.</w:t>
      </w:r>
    </w:p>
    <w:p w:rsidR="00000000" w:rsidRDefault="001034A9">
      <w:pPr>
        <w:pStyle w:val="ConsPlusNormal"/>
        <w:widowControl/>
        <w:ind w:firstLine="540"/>
        <w:jc w:val="both"/>
      </w:pPr>
      <w:r>
        <w:t>13. Налоговая нагрузка в российской экономике.</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1. Налоговое стимулирование инновационной деятельности</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1.1. Снижение тарифов страховых взносов на обязательное пенсионное, медицинское и социальное страхование</w:t>
      </w:r>
    </w:p>
    <w:p w:rsidR="00000000" w:rsidRDefault="001034A9">
      <w:pPr>
        <w:pStyle w:val="ConsPlusNormal"/>
        <w:widowControl/>
        <w:ind w:firstLine="540"/>
        <w:jc w:val="both"/>
      </w:pPr>
      <w:r>
        <w:t>Федеральным законом от 24 июля 2009 г. N 212-ФЗ "О страховых взносах в Пенсионный фонд Российск</w:t>
      </w:r>
      <w:r>
        <w:t>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были установлены пониженные тарифы страховых взносов, в том числе:</w:t>
      </w:r>
    </w:p>
    <w:p w:rsidR="00000000" w:rsidRDefault="001034A9">
      <w:pPr>
        <w:pStyle w:val="ConsPlusNormal"/>
        <w:widowControl/>
        <w:ind w:firstLine="540"/>
        <w:jc w:val="both"/>
      </w:pPr>
      <w:r>
        <w:t xml:space="preserve">для </w:t>
      </w:r>
      <w:r>
        <w:t>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 N 244-ФЗ "Об инновационном центре "Сколково";</w:t>
      </w:r>
    </w:p>
    <w:p w:rsidR="00000000" w:rsidRDefault="001034A9">
      <w:pPr>
        <w:pStyle w:val="ConsPlusNormal"/>
        <w:widowControl/>
        <w:ind w:firstLine="540"/>
        <w:jc w:val="both"/>
      </w:pPr>
      <w:r>
        <w:t>для организаций, осущест</w:t>
      </w:r>
      <w:r>
        <w:t>вляющих деятельность в области информационных технологий,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w:t>
      </w:r>
      <w:r>
        <w:t>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w:t>
      </w:r>
      <w:r>
        <w:t xml:space="preserve"> данных;</w:t>
      </w:r>
    </w:p>
    <w:p w:rsidR="00000000" w:rsidRDefault="001034A9">
      <w:pPr>
        <w:pStyle w:val="ConsPlusNormal"/>
        <w:widowControl/>
        <w:ind w:firstLine="540"/>
        <w:jc w:val="both"/>
      </w:pPr>
      <w:r>
        <w:t>для хозяйственных обществ, созданных после 13 августа 2009 года бюджетными научными учреждениями в соответствии с Федеральным законом от 23 августа 1996 г. N 127-ФЗ "О науке и государственной научно-технической политике" и образовательными учрежде</w:t>
      </w:r>
      <w:r>
        <w:t>ниями высшего профессионального образования в соответствии с Федеральным законом от 22 августа 1996 г. N 125-ФЗ "О высшем и послевузовском профессиональном образовании";</w:t>
      </w:r>
    </w:p>
    <w:p w:rsidR="00000000" w:rsidRDefault="001034A9">
      <w:pPr>
        <w:pStyle w:val="ConsPlusNormal"/>
        <w:widowControl/>
        <w:ind w:firstLine="540"/>
        <w:jc w:val="both"/>
      </w:pPr>
      <w:r>
        <w:t>для российских организаций и индивидуальных предпринимателей, осуществляющих производс</w:t>
      </w:r>
      <w:r>
        <w:t>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w:t>
      </w:r>
    </w:p>
    <w:p w:rsidR="00000000" w:rsidRDefault="001034A9">
      <w:pPr>
        <w:pStyle w:val="ConsPlusNormal"/>
        <w:widowControl/>
        <w:ind w:firstLine="540"/>
        <w:jc w:val="both"/>
      </w:pPr>
      <w:r>
        <w:t>Выпадающие доходы государственных внебюджетных фо</w:t>
      </w:r>
      <w:r>
        <w:t>ндов в связи с применением пониженных тарифов страховых взносов компенсируются за счет межбюджетных трансфертов, предоставляемых из федерального бюджета.</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1.2. Уточнение порядка учета расходов на научные исследования и (или) опытно-конструкторские разработ</w:t>
      </w:r>
      <w:r>
        <w:t>ки</w:t>
      </w:r>
    </w:p>
    <w:p w:rsidR="00000000" w:rsidRDefault="001034A9">
      <w:pPr>
        <w:pStyle w:val="ConsPlusNormal"/>
        <w:widowControl/>
        <w:ind w:firstLine="540"/>
        <w:jc w:val="both"/>
      </w:pPr>
      <w:r>
        <w:t>Принят Федеральный закон от 7 июня 2011 г. N 132-ФЗ "О внесении изменений в статью 95 части первой, часть вторую Налогового кодекса Российской Федерации в части формирования благоприятных налоговых условий для инновационной деятельности и статью 5 Федер</w:t>
      </w:r>
      <w:r>
        <w:t>ального закона "О внесении изменений в часть вторую Налогового кодекса Российской Федерации и отдельные законодательные акты Российской Федерации".</w:t>
      </w:r>
    </w:p>
    <w:p w:rsidR="00000000" w:rsidRDefault="001034A9">
      <w:pPr>
        <w:pStyle w:val="ConsPlusNormal"/>
        <w:widowControl/>
        <w:ind w:firstLine="540"/>
        <w:jc w:val="both"/>
      </w:pPr>
      <w:r>
        <w:t>Указанным федеральным законом установлен новый порядок учета расходов на научные исследования и (или) опытно</w:t>
      </w:r>
      <w:r>
        <w:t>-конструкторские разработки (далее - НИОКР) при определении налоговой базы по налогу на прибыль организаций.</w:t>
      </w:r>
    </w:p>
    <w:p w:rsidR="00000000" w:rsidRDefault="001034A9">
      <w:pPr>
        <w:pStyle w:val="ConsPlusNormal"/>
        <w:widowControl/>
        <w:ind w:firstLine="540"/>
        <w:jc w:val="both"/>
      </w:pPr>
      <w:r>
        <w:t>Определяется перечень статей расходов (заработная плата персонала, амортизационные начисления, материальные и прочие расходы), относимых к расходам</w:t>
      </w:r>
      <w:r>
        <w:t xml:space="preserve"> на НИОКР для целей налогообложения прибыли организаций. Это позволит не только минимизировать риски неправомерного сокращения налоговых обязательств недобросовестными налогоплательщиками, но и существенно сократить риски добросовестных налогоплательщиков,</w:t>
      </w:r>
      <w:r>
        <w:t xml:space="preserve"> связанные с неопределенностью состава расходов на НИОКР при применении действующих норм законодательства о налогах и сборах.</w:t>
      </w:r>
    </w:p>
    <w:p w:rsidR="00000000" w:rsidRDefault="001034A9">
      <w:pPr>
        <w:pStyle w:val="ConsPlusNormal"/>
        <w:widowControl/>
        <w:ind w:firstLine="540"/>
        <w:jc w:val="both"/>
      </w:pPr>
      <w:r>
        <w:lastRenderedPageBreak/>
        <w:t>Расходы на НИОКР (за исключением расходов в виде отчислений в фонды поддержки научной, научно-технической и инновационной деятельн</w:t>
      </w:r>
      <w:r>
        <w:t>ости) будут признаваться в составе прочих расходов в отчетном (налоговом) периоде, в котором они завершены.</w:t>
      </w:r>
    </w:p>
    <w:p w:rsidR="00000000" w:rsidRDefault="001034A9">
      <w:pPr>
        <w:pStyle w:val="ConsPlusNormal"/>
        <w:widowControl/>
        <w:ind w:firstLine="540"/>
        <w:jc w:val="both"/>
      </w:pPr>
      <w:r>
        <w:t>В целях создания механизма администрирования налоговыми органами расходов на НИОКР по перечню, установленному Правительством Российской Федерации, у</w:t>
      </w:r>
      <w:r>
        <w:t>читываемых в размере фактических затрат с коэффициентом 1,5, предусматривается, что налогоплательщики, использующие указанный порядок учета расходов, должны будут представлять в налоговый орган отчет о выполненных НИОКР, оформленный в соответствии с требов</w:t>
      </w:r>
      <w:r>
        <w:t>аниями, установленными национальным стандартом.</w:t>
      </w:r>
    </w:p>
    <w:p w:rsidR="00000000" w:rsidRDefault="001034A9">
      <w:pPr>
        <w:pStyle w:val="ConsPlusNormal"/>
        <w:widowControl/>
        <w:ind w:firstLine="540"/>
        <w:jc w:val="both"/>
      </w:pPr>
      <w:r>
        <w:t>Учитывая, что проверка соответствия выполненных НИОКР перечню, установленному Правительством Российской Федерации, требует специальных познаний в области науки и техники, налоговым органом может быть назначен</w:t>
      </w:r>
      <w:r>
        <w:t>а экспертиза представленного налогоплательщиком отчета в порядке, предусмотренном статьей 95 Налогового кодекса Российской Федерации (далее - Кодекс). С целью обеспечения возможности проведения указанной экспертизы в рамках камеральной налоговой проверки с</w:t>
      </w:r>
      <w:r>
        <w:t>оответствующее изменение вносится в пункт 3 статьи 95 Кодекса.</w:t>
      </w:r>
    </w:p>
    <w:p w:rsidR="00000000" w:rsidRDefault="001034A9">
      <w:pPr>
        <w:pStyle w:val="ConsPlusNormal"/>
        <w:widowControl/>
        <w:ind w:firstLine="540"/>
        <w:jc w:val="both"/>
      </w:pPr>
      <w:r>
        <w:t>В случае непредставления отчета или признания выполненных работ не соответствующими перечню, утвержденному Правительством Российской Федерации, указанные расходы признаются в размере фактически</w:t>
      </w:r>
      <w:r>
        <w:t>х затрат без применения коэффициента 1,5.</w:t>
      </w:r>
    </w:p>
    <w:p w:rsidR="00000000" w:rsidRDefault="001034A9">
      <w:pPr>
        <w:pStyle w:val="ConsPlusNormal"/>
        <w:widowControl/>
        <w:ind w:firstLine="540"/>
        <w:jc w:val="both"/>
      </w:pPr>
      <w:r>
        <w:t>В случае создания в результате НИОКР нематериального актива ранее учтенные расходы в первоначальную стоимость нематериального актива не включаются. Вместе с тем убыток при реализации нематериального актива, получен</w:t>
      </w:r>
      <w:r>
        <w:t>ного в результате НИОКР по перечню, установленному Правительством Российской Федерации, для целей налогообложения учету не подлежит.</w:t>
      </w:r>
    </w:p>
    <w:p w:rsidR="00000000" w:rsidRDefault="001034A9">
      <w:pPr>
        <w:pStyle w:val="ConsPlusNormal"/>
        <w:widowControl/>
        <w:ind w:firstLine="540"/>
        <w:jc w:val="both"/>
      </w:pPr>
      <w:r>
        <w:t>В целях равномерного учета расходов на НИОКР налогоплательщику предоставляется право формировать в налоговом учете резерв п</w:t>
      </w:r>
      <w:r>
        <w:t>редстоящих расходов на НИОКР. При этом предусматривается, что налогоплательщик на основании разработанных и утвержденных им программ самостоятельно принимает решение о создании резерва, отражая соответствующее решение в учетной политике для целей налогообл</w:t>
      </w:r>
      <w:r>
        <w:t>ожения. При этом расходы налогоплательщика, осуществляемые им при реализации указанных программ, производятся за счет такого резерва.</w:t>
      </w:r>
    </w:p>
    <w:p w:rsidR="00000000" w:rsidRDefault="001034A9">
      <w:pPr>
        <w:pStyle w:val="ConsPlusNormal"/>
        <w:widowControl/>
        <w:ind w:firstLine="540"/>
        <w:jc w:val="both"/>
      </w:pPr>
      <w:r>
        <w:t>Условия создания резерва: срок не более двух лет, в пределах расходов (сметы) на НИОКР, предельный размер отчислений огран</w:t>
      </w:r>
      <w:r>
        <w:t>ичен в отношении всех создаваемых резервов (3% от доходов).</w:t>
      </w:r>
    </w:p>
    <w:p w:rsidR="00000000" w:rsidRDefault="001034A9">
      <w:pPr>
        <w:pStyle w:val="ConsPlusNormal"/>
        <w:widowControl/>
        <w:ind w:firstLine="540"/>
        <w:jc w:val="both"/>
      </w:pPr>
      <w:r>
        <w:t>При неиспользовании резерва неизрасходованная сумма включается в состав внереализационных доходов периода, в котором были произведены отчисления в резерв, что влечет начисление пени.</w:t>
      </w:r>
    </w:p>
    <w:p w:rsidR="00000000" w:rsidRDefault="001034A9">
      <w:pPr>
        <w:pStyle w:val="ConsPlusNormal"/>
        <w:widowControl/>
        <w:ind w:firstLine="540"/>
        <w:jc w:val="both"/>
      </w:pPr>
      <w:r>
        <w:t>В Кодексе зак</w:t>
      </w:r>
      <w:r>
        <w:t>репляются особенности ведения налогового учета расходов на НИОКР (аналитический учет по видам работ (договорам) всех осуществленных расходов на НИОКР).</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1.3. Сокращение перечня документов, необходимых для подтверждения правомерности применения нулевой ставки НДС при экспортных операциях</w:t>
      </w:r>
    </w:p>
    <w:p w:rsidR="00000000" w:rsidRDefault="001034A9">
      <w:pPr>
        <w:pStyle w:val="ConsPlusNormal"/>
        <w:widowControl/>
        <w:ind w:firstLine="540"/>
        <w:jc w:val="both"/>
      </w:pPr>
      <w:r>
        <w:t>Принят Федеральный закон от 19 июля 2011 г. N 245-ФЗ "О внесении изменений в части первую и вторую Налогового кодекса Рос</w:t>
      </w:r>
      <w:r>
        <w:t>сийской Федерации и отдельные законодательные акты Российской Федерации о налогах и сборах", который, в частности, предусматривает сокращение перечня документов, необходимых для подтверждения правомерности применения нулевой ставки НДС при экспортных опера</w:t>
      </w:r>
      <w:r>
        <w:t>циях.</w:t>
      </w:r>
    </w:p>
    <w:p w:rsidR="00000000" w:rsidRDefault="001034A9">
      <w:pPr>
        <w:pStyle w:val="ConsPlusNormal"/>
        <w:widowControl/>
        <w:ind w:firstLine="540"/>
        <w:jc w:val="both"/>
      </w:pPr>
      <w:r>
        <w:t>Указанный Федеральный закон предусматривает исключение из данного перечня документов, подтверждающих фактическое поступление выручки от реализации товаров (работ, услуг) на счет налогоплательщика в российском банке.</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1.4. Создание благоприятных услов</w:t>
      </w:r>
      <w:r>
        <w:t>ий налогового администрирования</w:t>
      </w:r>
    </w:p>
    <w:p w:rsidR="00000000" w:rsidRDefault="001034A9">
      <w:pPr>
        <w:pStyle w:val="ConsPlusNormal"/>
        <w:widowControl/>
        <w:ind w:firstLine="540"/>
        <w:jc w:val="both"/>
      </w:pPr>
      <w:r>
        <w:t>Федеральным законом от 27 июля 2010 г. N 229-ФЗ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w:t>
      </w:r>
      <w:r>
        <w:t>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 обеспечено широ</w:t>
      </w:r>
      <w:r>
        <w:t xml:space="preserve">кое использование электронных документов при взаимодействии налоговых органов с налогоплательщиками, налоговых органов с иными </w:t>
      </w:r>
      <w:r>
        <w:lastRenderedPageBreak/>
        <w:t>участниками налоговых отношений (банками, регистрирующими органами), а также налогоплательщиков между собой при выставлении счето</w:t>
      </w:r>
      <w:r>
        <w:t>в-фактур по налогу на добавленную стоимость.</w:t>
      </w:r>
    </w:p>
    <w:p w:rsidR="00000000" w:rsidRDefault="001034A9">
      <w:pPr>
        <w:pStyle w:val="ConsPlusNormal"/>
        <w:widowControl/>
        <w:ind w:firstLine="540"/>
        <w:jc w:val="both"/>
      </w:pPr>
      <w:r>
        <w:t>Последовательно реализуются меры налоговой политики, направленные на упрощение процедур учета в налоговых органах организаций и физических лиц, совершенствование порядка проведения и оформления результатов налог</w:t>
      </w:r>
      <w:r>
        <w:t>овых проверок, вводятся дополнительные гарантии защиты прав налогоплательщиков.</w:t>
      </w:r>
    </w:p>
    <w:p w:rsidR="00000000" w:rsidRDefault="001034A9">
      <w:pPr>
        <w:pStyle w:val="ConsPlusNormal"/>
        <w:widowControl/>
        <w:ind w:firstLine="540"/>
        <w:jc w:val="both"/>
      </w:pPr>
      <w:r>
        <w:t>В частности, в Кодексе закреплено право налогоплательщика знакомиться с материалами дополнительных мероприятий налогового контроля.</w:t>
      </w:r>
    </w:p>
    <w:p w:rsidR="00000000" w:rsidRDefault="001034A9">
      <w:pPr>
        <w:pStyle w:val="ConsPlusNormal"/>
        <w:widowControl/>
        <w:ind w:firstLine="540"/>
        <w:jc w:val="both"/>
      </w:pPr>
      <w:r>
        <w:t>Создание и внедрение технологии централизова</w:t>
      </w:r>
      <w:r>
        <w:t>нного телефонного и электронного информирования, внедрение электронных методов взаимодействия сторон как при исполнении налоговых обязательств налогоплательщиком, так и при его информационном обслуживании налоговыми органами, способствуют ликвидации очеред</w:t>
      </w:r>
      <w:r>
        <w:t>ей, снижают возможность нарушения профессиональной этики при осуществлении процедур налогового администрирования.</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1.5. Освобождение от налогообложения налогом на имущество организаций энергоэффективного оборудования сроком на 3 года с момента ввода в эксп</w:t>
      </w:r>
      <w:r>
        <w:t>луатацию, а также оборудования, используемого для создания научно-технической продукции</w:t>
      </w:r>
    </w:p>
    <w:p w:rsidR="00000000" w:rsidRDefault="001034A9">
      <w:pPr>
        <w:pStyle w:val="ConsPlusNormal"/>
        <w:widowControl/>
        <w:ind w:firstLine="540"/>
        <w:jc w:val="both"/>
      </w:pPr>
      <w:r>
        <w:t>Принят Федеральный закон от 7 июня 2011 г. N 132-ФЗ "О внесении изменений в статью 95 части первой, часть вторую Налогового кодекса Российской Федерации в части формиро</w:t>
      </w:r>
      <w:r>
        <w:t>вания благоприятных налоговых условий для инновационной деятельности и статью 5 Федерального закона "О внесении изменений в часть вторую Налогового кодекса Российской Федерации и отдельные законодательные акты Российской Федерации".</w:t>
      </w:r>
    </w:p>
    <w:p w:rsidR="00000000" w:rsidRDefault="001034A9">
      <w:pPr>
        <w:pStyle w:val="ConsPlusNormal"/>
        <w:widowControl/>
        <w:ind w:firstLine="540"/>
        <w:jc w:val="both"/>
      </w:pPr>
      <w:r>
        <w:t xml:space="preserve">Указанный Закон вводит </w:t>
      </w:r>
      <w:r>
        <w:t>налоговую льготу по налогу на имущество в отношении вновь вводимых объектов, имеющих высокую энергетическую эффективность, вновь вводимых объектов, имеющих высокий класс энергетической эффективности, - в течение трех лет со дня постановки на учет указанног</w:t>
      </w:r>
      <w:r>
        <w:t>о имущества.</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1.6. Передача полномочий по принятию решения о предоставлении инвестиционного налогового кредита по налогу на прибыль организаций и налогу на имущество организаций субъектам Российской Федерации</w:t>
      </w:r>
    </w:p>
    <w:p w:rsidR="00000000" w:rsidRDefault="001034A9">
      <w:pPr>
        <w:pStyle w:val="ConsPlusNormal"/>
        <w:widowControl/>
        <w:ind w:firstLine="540"/>
        <w:jc w:val="both"/>
      </w:pPr>
      <w:r>
        <w:t>Федеральным законом от 27 июля 2010 г. N 229-ФЗ</w:t>
      </w:r>
      <w:r>
        <w:t xml:space="preserve">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w:t>
      </w:r>
      <w:r>
        <w:t>)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 внесены изменения в порядок предоставления отсрочки (рассрочки) по уплате налога, инвестиционн</w:t>
      </w:r>
      <w:r>
        <w:t>ого налогового кредита. Положения Кодекса об отсрочке (рассрочке) по уплате налога распространены на пени и штрафы.</w:t>
      </w:r>
    </w:p>
    <w:p w:rsidR="00000000" w:rsidRDefault="001034A9">
      <w:pPr>
        <w:pStyle w:val="ConsPlusNormal"/>
        <w:widowControl/>
        <w:ind w:firstLine="540"/>
        <w:jc w:val="both"/>
      </w:pPr>
      <w:r>
        <w:t>Отсрочка (рассрочка) может быть предоставлена заинтересованному лицу, финансовое положение которого не позволяет уплатить налог в установлен</w:t>
      </w:r>
      <w:r>
        <w:t>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(рассрочка). Отсрочка (рассрочка) по уплате налога может быть предоставлена организ</w:t>
      </w:r>
      <w:r>
        <w:t>ации на сумму, не превышающую стоимость ее чистых активов, физическому лицу - на сумму, не превышающую стоимость его имущества, за исключением имущества, на которое в соответствии с законодательством Российской Федерации не может быть обращено взыскание.</w:t>
      </w:r>
    </w:p>
    <w:p w:rsidR="00000000" w:rsidRDefault="001034A9">
      <w:pPr>
        <w:pStyle w:val="ConsPlusNormal"/>
        <w:widowControl/>
        <w:ind w:firstLine="540"/>
        <w:jc w:val="both"/>
      </w:pPr>
      <w:r>
        <w:t>У</w:t>
      </w:r>
      <w:r>
        <w:t>точнены основания предоставления отсрочки (рассрочки) по уплате налога, а также органы, уполномоченные подтверждать наличие соответствующего основания. Так, наличие угрозы возникновения признаков несостоятельности (банкротства) заинтересованного лица в слу</w:t>
      </w:r>
      <w:r>
        <w:t>чае единовременной уплаты им налога устанавливается по результатам анализа финансового состояния хозяйствующего субъекта, проведенного ФНС России, в соответствии с методикой, утверждаемой Минэкономразвития России.</w:t>
      </w:r>
    </w:p>
    <w:p w:rsidR="00000000" w:rsidRDefault="001034A9">
      <w:pPr>
        <w:pStyle w:val="ConsPlusNormal"/>
        <w:widowControl/>
        <w:ind w:firstLine="540"/>
        <w:jc w:val="both"/>
      </w:pPr>
      <w:r>
        <w:t>На территориальные налоговые органы возлож</w:t>
      </w:r>
      <w:r>
        <w:t xml:space="preserve">ены функции по принятию решений о предоставлении отсрочки (рассрочки)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w:t>
      </w:r>
      <w:r>
        <w:t>налоговыми агентами.</w:t>
      </w:r>
    </w:p>
    <w:p w:rsidR="00000000" w:rsidRDefault="001034A9">
      <w:pPr>
        <w:pStyle w:val="ConsPlusNormal"/>
        <w:widowControl/>
        <w:ind w:firstLine="540"/>
        <w:jc w:val="both"/>
      </w:pPr>
      <w:r>
        <w:lastRenderedPageBreak/>
        <w:t>Увеличена сумма инвестиционного налогового кредита с 30 до 100 процентов стоимости приобретенного заинтересованной организацией оборудования, используемого для проведения научно-исследовательских или опытно-конструкторских работ либо т</w:t>
      </w:r>
      <w:r>
        <w:t>ехнического перевооружения собственного производства.</w:t>
      </w:r>
    </w:p>
    <w:p w:rsidR="00000000" w:rsidRDefault="001034A9">
      <w:pPr>
        <w:pStyle w:val="ConsPlusNormal"/>
        <w:widowControl/>
        <w:ind w:firstLine="540"/>
        <w:jc w:val="both"/>
      </w:pPr>
      <w:r>
        <w:t>Полномочия по принятию решений об изменении сроков уплаты налога на прибыль организаций по налоговой ставке, установленной для зачисления указанного налога в бюджеты субъектов Российской Федерации, и ре</w:t>
      </w:r>
      <w:r>
        <w:t>гиональных налогов в форме инвестиционного налогового кредита, переданы субъектам Российской Федерации, которые определяют органы, принимающие указанные решения.</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1.7. Совершенствование налогообложения организаций, осуществляющих деятельность в социально з</w:t>
      </w:r>
      <w:r>
        <w:t>начимых областях</w:t>
      </w:r>
    </w:p>
    <w:p w:rsidR="00000000" w:rsidRDefault="001034A9">
      <w:pPr>
        <w:pStyle w:val="ConsPlusNormal"/>
        <w:widowControl/>
        <w:ind w:firstLine="540"/>
        <w:jc w:val="both"/>
      </w:pPr>
      <w:r>
        <w:t xml:space="preserve">Федеральным законом от 28 декабря 2010 г. N 395-ФЗ "О внесении изменений в часть вторую Налогового кодекса Российской Федерации и отдельные законодательные акты Российской Федерации" для организаций, осуществляющих образовательную и (или) </w:t>
      </w:r>
      <w:r>
        <w:t>медицинскую деятельность, удовлетворяющих предусмотренным Кодексом критериям, ставка налога на прибыль установлена в размере 0 процентов.</w:t>
      </w:r>
    </w:p>
    <w:p w:rsidR="00000000" w:rsidRDefault="001034A9">
      <w:pPr>
        <w:pStyle w:val="ConsPlusNormal"/>
        <w:widowControl/>
        <w:ind w:firstLine="540"/>
        <w:jc w:val="both"/>
      </w:pPr>
      <w:r>
        <w:t>Указанные положения применяются с 1 января 2011 года до 1 января 2020 года.</w:t>
      </w:r>
    </w:p>
    <w:p w:rsidR="00000000" w:rsidRDefault="001034A9">
      <w:pPr>
        <w:pStyle w:val="ConsPlusNormal"/>
        <w:widowControl/>
        <w:ind w:firstLine="540"/>
        <w:jc w:val="both"/>
      </w:pPr>
      <w:r>
        <w:t>Данная мера должна способствовать поддержк</w:t>
      </w:r>
      <w:r>
        <w:t>е организаций, осуществляющих деятельность в областях образования и здравоохранения, за счет направления средств, сэкономленных в результате применения нулевой налоговой ставки, на развитие собственной деятельности.</w:t>
      </w:r>
    </w:p>
    <w:p w:rsidR="00000000" w:rsidRDefault="001034A9">
      <w:pPr>
        <w:pStyle w:val="ConsPlusNormal"/>
        <w:widowControl/>
        <w:ind w:firstLine="540"/>
        <w:jc w:val="both"/>
      </w:pPr>
      <w:r>
        <w:t>Для целей применения налоговой ставки 0 процентов Правительством Российской Федерации должен быть утвержден соответствующий перечень видов образовательной и медицинской деятельности.</w:t>
      </w:r>
    </w:p>
    <w:p w:rsidR="00000000" w:rsidRDefault="001034A9">
      <w:pPr>
        <w:pStyle w:val="ConsPlusNormal"/>
        <w:widowControl/>
        <w:ind w:firstLine="540"/>
        <w:jc w:val="both"/>
      </w:pPr>
      <w:r>
        <w:t>В рамках создания благоприятных условий для функционирования некоммерческ</w:t>
      </w:r>
      <w:r>
        <w:t>их организаций, оказания социальных услуг населению, развития благотворительной деятельности добровольцами принят Федеральный закон от 18 июля 2011 г. N 235-ФЗ "О внесении изменений в часть вторую Налогового кодекса Российской Федерации в части совершенств</w:t>
      </w:r>
      <w:r>
        <w:t>ования налогообложения некоммерческих организаций и благотворительной деятельности".</w:t>
      </w:r>
    </w:p>
    <w:p w:rsidR="00000000" w:rsidRDefault="001034A9">
      <w:pPr>
        <w:pStyle w:val="ConsPlusNormal"/>
        <w:widowControl/>
        <w:ind w:firstLine="540"/>
        <w:jc w:val="both"/>
      </w:pPr>
      <w:r>
        <w:t>Федеральным законом предусмотрен комплекс мер в области совершенствования налогообложения добавленной стоимости, формируемой при оказании услуг в социальной сфере, а также</w:t>
      </w:r>
      <w:r>
        <w:t xml:space="preserve"> налогообложения доходов физических лиц - благополучателей при осуществлении некоммерческими организациями благотворительной деятельности.</w:t>
      </w:r>
    </w:p>
    <w:p w:rsidR="00000000" w:rsidRDefault="001034A9">
      <w:pPr>
        <w:pStyle w:val="ConsPlusNormal"/>
        <w:widowControl/>
        <w:ind w:firstLine="540"/>
        <w:jc w:val="both"/>
      </w:pPr>
      <w:r>
        <w:t>В частности, предусмотрено освобождение от налогообложения налогом на добавленную стоимость услуг по социальному обсл</w:t>
      </w:r>
      <w:r>
        <w:t>уживанию детей; услуг по поддержке и социальному обслуживанию граждан пожилого возраста, инвалидов, безнадзорных детей и иных лиц, находящихся в трудной жизненной ситуации; физкультурно-оздоровительных услуг, оказываемых населению.</w:t>
      </w:r>
    </w:p>
    <w:p w:rsidR="00000000" w:rsidRDefault="001034A9">
      <w:pPr>
        <w:pStyle w:val="ConsPlusNormal"/>
        <w:widowControl/>
        <w:ind w:firstLine="540"/>
        <w:jc w:val="both"/>
      </w:pPr>
      <w:r>
        <w:t>Федеральным законом пред</w:t>
      </w:r>
      <w:r>
        <w:t>оставляется право некоммерческим организациям, кроме созданных в форме государственной корпорации, государственной компании, объединения юридических лиц, создавать резерв предстоящих расходов, осуществляемых в рамках предпринимательской деятельности и учит</w:t>
      </w:r>
      <w:r>
        <w:t>ываемых для целей налогообложения прибыли. Создание указанного резерва обеспечит равномерный учет доходов и расходов некоммерческих организаций, учитываемых при определении налоговой базы по налогу на прибыль организаций.</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1.8. Прочие направления поддержки</w:t>
      </w:r>
      <w:r>
        <w:t xml:space="preserve"> инновационной активности</w:t>
      </w:r>
    </w:p>
    <w:p w:rsidR="00000000" w:rsidRDefault="001034A9">
      <w:pPr>
        <w:pStyle w:val="ConsPlusNormal"/>
        <w:widowControl/>
        <w:ind w:firstLine="540"/>
        <w:jc w:val="both"/>
      </w:pPr>
      <w:r>
        <w:t>В связи с созданием технопарка "Сколково" приняты специальные меры, связанные с налогообложением прибыли инновационных компаний, получивших статус участника проекта по осуществлению исследований, разработок и коммерциализации их р</w:t>
      </w:r>
      <w:r>
        <w:t>езультатов в соответствии с Федеральным законом от 28 сентября 2010 г. N 244-ФЗ "Об инновационном центре "Сколково".</w:t>
      </w:r>
    </w:p>
    <w:p w:rsidR="00000000" w:rsidRDefault="001034A9">
      <w:pPr>
        <w:pStyle w:val="ConsPlusNormal"/>
        <w:widowControl/>
        <w:ind w:firstLine="540"/>
        <w:jc w:val="both"/>
      </w:pPr>
      <w:r>
        <w:t xml:space="preserve">В частности, согласно внесенным в главу 25 Кодекса изменениям, участники проекта получили возможность использования освобождения от уплаты </w:t>
      </w:r>
      <w:r>
        <w:t>налога на прибыль организаций в течение 10 лет с момента регистрации в качестве участника проекта при условии, что размер выручки от реализации товаров (работ, услуг, имущественных прав) такого участника не превышает 1 млрд. руб. в год.</w:t>
      </w:r>
    </w:p>
    <w:p w:rsidR="00000000" w:rsidRDefault="001034A9">
      <w:pPr>
        <w:pStyle w:val="ConsPlusNormal"/>
        <w:widowControl/>
        <w:ind w:firstLine="540"/>
        <w:jc w:val="both"/>
      </w:pPr>
      <w:r>
        <w:lastRenderedPageBreak/>
        <w:t>При превышении пред</w:t>
      </w:r>
      <w:r>
        <w:t>ельного размера выручки в размере 1 млрд. руб. в год участник проекта получает право на применение ставки 0% при налогообложении прибыли в размере, не превышающем 300 млн. руб. нарастающим итогом с момента применения указанной ставки.</w:t>
      </w:r>
    </w:p>
    <w:p w:rsidR="00000000" w:rsidRDefault="001034A9">
      <w:pPr>
        <w:pStyle w:val="ConsPlusNormal"/>
        <w:widowControl/>
        <w:ind w:firstLine="540"/>
        <w:jc w:val="both"/>
      </w:pPr>
      <w:r>
        <w:t>Дополнительные меры н</w:t>
      </w:r>
      <w:r>
        <w:t>алогового стимулирования инновационной деятельности реализованы Федеральным законом от 28 декабря 2010 г. N 395-ФЗ "О внесении изменений в часть вторую Налогового кодекса Российской Федерации и отдельные законодательные акты Российской Федерации". В соотве</w:t>
      </w:r>
      <w:r>
        <w:t>тствии с указанным Федеральным законом с 1 января 2011 года предусмотрена возможность списания в налоговом учете стоимости нематериальных активов инновационной направленности (исключительных прав на изобретения, промышленные образцы, полезные модели и др.)</w:t>
      </w:r>
      <w:r>
        <w:t xml:space="preserve"> в течение двух лет через механизм амортизации.</w:t>
      </w:r>
    </w:p>
    <w:p w:rsidR="00000000" w:rsidRDefault="001034A9">
      <w:pPr>
        <w:pStyle w:val="ConsPlusNormal"/>
        <w:widowControl/>
        <w:ind w:firstLine="540"/>
        <w:jc w:val="both"/>
      </w:pPr>
      <w:r>
        <w:t xml:space="preserve">Указанным Федеральным законом также предусмотрено освобождение от налога на прибыль организаций и налога на доходы физических лиц доходов, полученных при реализации приобретенных начиная с 1 января 2011 года </w:t>
      </w:r>
      <w:r>
        <w:t>долей, а также акций российских организаций, не обращающихся на организованном рынке ценных бумаг, и акций российских организаций, обращающихся на организованном рынке ценных бумаг и являющихся акциями высокотехнологичного (инновационного) сектора экономик</w:t>
      </w:r>
      <w:r>
        <w:t>и, при условии, что на дату реализации или иного выбытия (в том числе погашения) таких долей (ценных бумаг) они непрерывно находились в собственности налогоплательщика более 5 лет.</w:t>
      </w:r>
    </w:p>
    <w:p w:rsidR="00000000" w:rsidRDefault="001034A9">
      <w:pPr>
        <w:pStyle w:val="ConsPlusNormal"/>
        <w:widowControl/>
        <w:ind w:firstLine="540"/>
        <w:jc w:val="both"/>
      </w:pPr>
      <w:r>
        <w:t>Порядок отнесения акций российских организаций, обращающихся на организован</w:t>
      </w:r>
      <w:r>
        <w:t>ном рынке ценных бумаг, к акциям высокотехнологичного (инновационного) сектора экономики будет установлен Правительством Российской Федерации.</w:t>
      </w:r>
    </w:p>
    <w:p w:rsidR="00000000" w:rsidRDefault="001034A9">
      <w:pPr>
        <w:pStyle w:val="ConsPlusNormal"/>
        <w:widowControl/>
        <w:ind w:firstLine="540"/>
        <w:jc w:val="both"/>
      </w:pPr>
      <w:r>
        <w:t>К мерам поддержки модернизации можно отнести изменения, внесенные Федеральным законом от 27 ноября 2010 г. N 308-</w:t>
      </w:r>
      <w:r>
        <w:t>ФЗ в главу "Налог на имущество организаций" Кодекса.</w:t>
      </w:r>
    </w:p>
    <w:p w:rsidR="00000000" w:rsidRDefault="001034A9">
      <w:pPr>
        <w:pStyle w:val="ConsPlusNormal"/>
        <w:widowControl/>
        <w:ind w:firstLine="540"/>
        <w:jc w:val="both"/>
      </w:pPr>
      <w:r>
        <w:t>Указанным Законом предусмотрено уменьшение налоговой базы на сумму законченных капитальных вложений на строительство, реконструкцию и (или) модернизацию вводимых, реконструируемых и (или) модернизируемых</w:t>
      </w:r>
      <w:r>
        <w:t xml:space="preserve"> судоходных гидротехнических сооружений, расположенных на внутренних водных путях Российской Федерации, портовых гидротехнических сооружений, сооружений инфраструктуры воздушного транспорта (за исключением системы централизованной заправки самолетов, космо</w:t>
      </w:r>
      <w:r>
        <w:t>дрома), учтенных в балансовой стоимости данных объектов.</w:t>
      </w:r>
    </w:p>
    <w:p w:rsidR="00000000" w:rsidRDefault="001034A9">
      <w:pPr>
        <w:pStyle w:val="ConsPlusNormal"/>
        <w:widowControl/>
        <w:ind w:firstLine="540"/>
        <w:jc w:val="both"/>
      </w:pPr>
      <w:r>
        <w:t>Соответствующие положения применяются до 1 января 2025 года.</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2. Налог на прибыль организаций</w:t>
      </w:r>
    </w:p>
    <w:p w:rsidR="00000000" w:rsidRDefault="001034A9">
      <w:pPr>
        <w:pStyle w:val="ConsPlusNormal"/>
        <w:widowControl/>
        <w:ind w:firstLine="540"/>
        <w:jc w:val="both"/>
      </w:pPr>
    </w:p>
    <w:p w:rsidR="00000000" w:rsidRDefault="001034A9">
      <w:pPr>
        <w:pStyle w:val="ConsPlusNormal"/>
        <w:widowControl/>
        <w:ind w:firstLine="540"/>
        <w:jc w:val="both"/>
      </w:pPr>
      <w:r>
        <w:t>В соответствии с принятыми решениями были внесены следующие изменения в части порядка исчисления и уплат</w:t>
      </w:r>
      <w:r>
        <w:t>ы налога на прибыль организаций.</w:t>
      </w:r>
    </w:p>
    <w:p w:rsidR="00000000" w:rsidRDefault="001034A9">
      <w:pPr>
        <w:pStyle w:val="ConsPlusNormal"/>
        <w:widowControl/>
        <w:ind w:firstLine="540"/>
        <w:jc w:val="both"/>
      </w:pPr>
      <w:r>
        <w:t>В два раза (с 20 000 до 40 000 руб.) увеличена первоначальная стоимость объекта для признания его основным средством или амортизируемым имуществом.</w:t>
      </w:r>
    </w:p>
    <w:p w:rsidR="00000000" w:rsidRDefault="001034A9">
      <w:pPr>
        <w:pStyle w:val="ConsPlusNormal"/>
        <w:widowControl/>
        <w:ind w:firstLine="540"/>
        <w:jc w:val="both"/>
      </w:pPr>
      <w:r>
        <w:t>С 2011 года организация может перейти на уплату квартальных авансовых плате</w:t>
      </w:r>
      <w:r>
        <w:t>жей, если доходы от реализации за предыдущие четыре квартала не превышали в среднем 10 млн. руб. за каждый квартал (ранее - 3 млн. рублей).</w:t>
      </w:r>
    </w:p>
    <w:p w:rsidR="00000000" w:rsidRDefault="001034A9">
      <w:pPr>
        <w:pStyle w:val="ConsPlusNormal"/>
        <w:widowControl/>
        <w:ind w:firstLine="540"/>
        <w:jc w:val="both"/>
      </w:pPr>
      <w:r>
        <w:t>С 1 января 2011 года убытки от использования объектов обслуживающих производств и хозяйств признаются в размере факт</w:t>
      </w:r>
      <w:r>
        <w:t>ических затрат при аналогичности условий деятельности налогоплательщика и специализированных организаций, для которых такая деятельность является основной (статья 275.1 Кодекса). Ограничение указанных расходов нормативами, утверждаемыми органами исполнител</w:t>
      </w:r>
      <w:r>
        <w:t>ьной власти субъекта Российской Федерации, отменено.</w:t>
      </w:r>
    </w:p>
    <w:p w:rsidR="00000000" w:rsidRDefault="001034A9">
      <w:pPr>
        <w:pStyle w:val="ConsPlusNormal"/>
        <w:widowControl/>
        <w:ind w:firstLine="540"/>
        <w:jc w:val="both"/>
      </w:pPr>
      <w:r>
        <w:t>Упрощен порядок учета расходов на освоение природных ресурсов. Согласно новой редакции статьи 261 Кодекса затраты по безрезультатным работам признаются в общем порядке, то есть с первого числа месяца, сл</w:t>
      </w:r>
      <w:r>
        <w:t>едующего за месяцем их завершения.</w:t>
      </w:r>
    </w:p>
    <w:p w:rsidR="00000000" w:rsidRDefault="001034A9">
      <w:pPr>
        <w:pStyle w:val="ConsPlusNormal"/>
        <w:widowControl/>
        <w:ind w:firstLine="540"/>
        <w:jc w:val="both"/>
      </w:pPr>
      <w:r>
        <w:t>Сокращен с пяти до двух лет срок учета затрат на подготовку территории к ведению горных, строительных и других работ, охране земель, недр и других природных ресурсов и окружающей среды, затрат на возмещение комплексного у</w:t>
      </w:r>
      <w:r>
        <w:t>щерба, наносимого налогоплательщиками природным ресурсам в процессе строительства и эксплуатации объектов, на переселение и выплату расходов за снос жилья в процессе разработки месторождений.</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3. Налог на добавленную стоимость</w:t>
      </w:r>
    </w:p>
    <w:p w:rsidR="00000000" w:rsidRDefault="001034A9">
      <w:pPr>
        <w:pStyle w:val="ConsPlusNormal"/>
        <w:widowControl/>
        <w:ind w:firstLine="540"/>
        <w:jc w:val="both"/>
      </w:pPr>
    </w:p>
    <w:p w:rsidR="00000000" w:rsidRDefault="001034A9">
      <w:pPr>
        <w:pStyle w:val="ConsPlusNormal"/>
        <w:widowControl/>
        <w:ind w:firstLine="540"/>
        <w:jc w:val="both"/>
      </w:pPr>
      <w:r>
        <w:lastRenderedPageBreak/>
        <w:t>Принят Федеральный закон от 19 июля 2011 г. N 245-ФЗ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который, в частности, направлен на предотв</w:t>
      </w:r>
      <w:r>
        <w:t>ращение потерь федерального бюджета в связи с неправомерным возмещением налога на добавленную стоимость по строительно-монтажным работам при модернизации, реконструкции, капитальном ремонте объектов недвижимости, частично используемых для осуществления опе</w:t>
      </w:r>
      <w:r>
        <w:t>раций, не подлежащих налогообложению налогом на добавленную стоимость, а также по товарам (работам, услугам), по которым уменьшение цен (тарифов) осуществляется после их реализации.</w:t>
      </w:r>
    </w:p>
    <w:p w:rsidR="00000000" w:rsidRDefault="001034A9">
      <w:pPr>
        <w:pStyle w:val="ConsPlusNormal"/>
        <w:widowControl/>
        <w:ind w:firstLine="540"/>
        <w:jc w:val="both"/>
      </w:pPr>
      <w:r>
        <w:t>Федеральным законом уточняется порядок определения места реализации в отно</w:t>
      </w:r>
      <w:r>
        <w:t>шении услуг, связанных с перевозкой, оказываемых иностранными лицами на территории Российской Федерации, услуг по предоставлению в пользование воздушных судов, морских судов или судов внутреннего плавания, используемых за пределами территории Российской Фе</w:t>
      </w:r>
      <w:r>
        <w:t>дерации для добычи (лова) водных биологических ресурсов и (или) научно-исследовательских целей либо перевозок между пунктами, находящимися за пределами территории Российской Федерации, а также вспомогательных работ (услуг).</w:t>
      </w:r>
    </w:p>
    <w:p w:rsidR="00000000" w:rsidRDefault="001034A9">
      <w:pPr>
        <w:pStyle w:val="ConsPlusNormal"/>
        <w:widowControl/>
        <w:ind w:firstLine="540"/>
        <w:jc w:val="both"/>
      </w:pPr>
      <w:r>
        <w:t>В целях формирования законодател</w:t>
      </w:r>
      <w:r>
        <w:t>ьной базы по косвенным налогам Таможенного союза в 2010 году были ратифицированы Протокол о порядке взимания косвенных налогов при выполнении работ, оказании услуг в таможенном союзе, Протокол о внесении изменений в Соглашение о принципах взимания косвенны</w:t>
      </w:r>
      <w:r>
        <w:t xml:space="preserve">х налогов при экспорте и импорте товаров, выполнении работ, оказании услуг в таможенном союзе, Протокол о порядке взимания косвенных налогов и механизме контроля за их уплатой при экспорте и импорте товаров в таможенном союзе. Помимо этого нормы глав 21 и </w:t>
      </w:r>
      <w:r>
        <w:t>22 Кодекса были приведены в соответствие с Таможенным кодексом таможенного союза, вступившим в силу с 1 июля 2010 года.</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4. Акцизное налогообложение</w:t>
      </w:r>
    </w:p>
    <w:p w:rsidR="00000000" w:rsidRDefault="001034A9">
      <w:pPr>
        <w:pStyle w:val="ConsPlusNormal"/>
        <w:widowControl/>
        <w:ind w:firstLine="540"/>
        <w:jc w:val="both"/>
      </w:pPr>
    </w:p>
    <w:p w:rsidR="00000000" w:rsidRDefault="001034A9">
      <w:pPr>
        <w:pStyle w:val="ConsPlusNormal"/>
        <w:widowControl/>
        <w:ind w:firstLine="540"/>
        <w:jc w:val="both"/>
      </w:pPr>
      <w:r>
        <w:t>В соответствии с Планом реализации комплекса мер по повышению эффективности регулирования рынка алкогольно</w:t>
      </w:r>
      <w:r>
        <w:t>й и спиртосодержащей продукции и производства этилового спирта в 2010 году было произведено увеличение ставок акцизов на период 2011 - 2013 годов. В соответствии с принятыми решениями наиболее существенно возросли ставки на нефтепродукты, а также на табачн</w:t>
      </w:r>
      <w:r>
        <w:t>ую продукцию.</w:t>
      </w:r>
    </w:p>
    <w:p w:rsidR="00000000" w:rsidRDefault="001034A9">
      <w:pPr>
        <w:pStyle w:val="ConsPlusNormal"/>
        <w:widowControl/>
        <w:ind w:firstLine="540"/>
        <w:jc w:val="both"/>
      </w:pPr>
      <w:r>
        <w:t>Кроме того, с 1 января 2011 года с целью стимулирования повышения качества нефтепродуктов введена дифференциация ставок акцизов по классам автомобильного бензина и дизельного топлива по принципу снижения ставок по мере повышения класса указан</w:t>
      </w:r>
      <w:r>
        <w:t>ных нефтепродуктов.</w:t>
      </w:r>
    </w:p>
    <w:p w:rsidR="00000000" w:rsidRDefault="001034A9">
      <w:pPr>
        <w:pStyle w:val="ConsPlusNormal"/>
        <w:widowControl/>
        <w:ind w:firstLine="540"/>
        <w:jc w:val="both"/>
      </w:pPr>
      <w:r>
        <w:t>Начиная с 1 июля 2011 года изменен действующий порядок исчисления и уплаты акцизов на этиловый спирт, алкогольную и спиртосодержащую продукцию. В частности, введена авансовая уплата акциза в бюджет по алкогольной и спиртосодержащей прод</w:t>
      </w:r>
      <w:r>
        <w:t>укции, которая осуществляется производителями указанных подакцизных товаров при приобретении спирта. Предусмотрена также возможность освобождения от авансовой уплаты акциза по приобретаемому спирту в случае представления производителями алкогольной и спирт</w:t>
      </w:r>
      <w:r>
        <w:t>осодержащей продукции банковской гарантии.</w:t>
      </w:r>
    </w:p>
    <w:p w:rsidR="00000000" w:rsidRDefault="001034A9">
      <w:pPr>
        <w:pStyle w:val="ConsPlusNormal"/>
        <w:widowControl/>
        <w:ind w:firstLine="540"/>
        <w:jc w:val="both"/>
      </w:pPr>
      <w:r>
        <w:t>Порядок, в соответствии с которым исчисление акциза по алкогольной и спиртосодержащей продукции производится на дату реализации указанных подакцизных товаров, сохраняется. При этом сумма авансового платежа, фактич</w:t>
      </w:r>
      <w:r>
        <w:t>ески внесенная в бюджет, подлежит вычету.</w:t>
      </w:r>
    </w:p>
    <w:p w:rsidR="00000000" w:rsidRDefault="001034A9">
      <w:pPr>
        <w:pStyle w:val="ConsPlusNormal"/>
        <w:widowControl/>
        <w:ind w:firstLine="540"/>
        <w:jc w:val="both"/>
      </w:pPr>
      <w:r>
        <w:t>При реализации спирта на иные цели (покупателям, не уплачивающим авансовый платеж акциза), за исключением лиц, использующих спирт для производства товаров, освобождаемых от налогообложения акцизами, в том числе лек</w:t>
      </w:r>
      <w:r>
        <w:t>арственных средств, парфюмерно-косметической продукции, предусматривается применение ставки акциза на спирт в размере, действующем в 2010 году, с учетом индексации (34 рубля за 1 литр безводного спирта).</w:t>
      </w:r>
    </w:p>
    <w:p w:rsidR="00000000" w:rsidRDefault="001034A9">
      <w:pPr>
        <w:pStyle w:val="ConsPlusNormal"/>
        <w:widowControl/>
        <w:ind w:firstLine="540"/>
        <w:jc w:val="both"/>
      </w:pPr>
      <w:r>
        <w:t>Принятые изменения направлены на повышение собираемо</w:t>
      </w:r>
      <w:r>
        <w:t>сти акцизов в бюджетную систему Российской Федерации и усиление контроля за оборотом этилового спирта, алкогольной и спиртосодержащей продукции.</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5. Введение налога на недвижимость</w:t>
      </w:r>
    </w:p>
    <w:p w:rsidR="00000000" w:rsidRDefault="001034A9">
      <w:pPr>
        <w:pStyle w:val="ConsPlusNormal"/>
        <w:widowControl/>
        <w:ind w:firstLine="540"/>
        <w:jc w:val="both"/>
      </w:pPr>
    </w:p>
    <w:p w:rsidR="00000000" w:rsidRDefault="001034A9">
      <w:pPr>
        <w:pStyle w:val="ConsPlusNormal"/>
        <w:widowControl/>
        <w:ind w:firstLine="540"/>
        <w:jc w:val="both"/>
      </w:pPr>
      <w:r>
        <w:lastRenderedPageBreak/>
        <w:t xml:space="preserve">В рамках выполнения Плана реализации мероприятий, обеспечивающих введение </w:t>
      </w:r>
      <w:r>
        <w:t>на территории Российской Федерации местного налога на недвижимость, формируется нормативная правовая база, необходимая для проведения кадастровой оценки объектов недвижимости.</w:t>
      </w:r>
    </w:p>
    <w:p w:rsidR="00000000" w:rsidRDefault="001034A9">
      <w:pPr>
        <w:pStyle w:val="ConsPlusNormal"/>
        <w:widowControl/>
        <w:ind w:firstLine="540"/>
        <w:jc w:val="both"/>
      </w:pPr>
      <w:r>
        <w:t>В Кемеровской, Тверской, Калужской областях и в Республике Татарстан протестиров</w:t>
      </w:r>
      <w:r>
        <w:t>аны Методические рекомендации по определению кадастровой стоимости объектов недвижимости нежилого фонда для целей налогообложения, утвержденные приказом Минэкономразвития России.</w:t>
      </w:r>
    </w:p>
    <w:p w:rsidR="00000000" w:rsidRDefault="001034A9">
      <w:pPr>
        <w:pStyle w:val="ConsPlusNormal"/>
        <w:widowControl/>
        <w:ind w:firstLine="540"/>
        <w:jc w:val="both"/>
      </w:pPr>
      <w:r>
        <w:t>Проведение оценки объектов недвижимости в субъектах Российской Федерации пред</w:t>
      </w:r>
      <w:r>
        <w:t>полагается в 2011 - 2012 годах.</w:t>
      </w:r>
    </w:p>
    <w:p w:rsidR="00000000" w:rsidRDefault="001034A9">
      <w:pPr>
        <w:pStyle w:val="ConsPlusNormal"/>
        <w:widowControl/>
        <w:ind w:firstLine="540"/>
        <w:jc w:val="both"/>
      </w:pPr>
      <w:r>
        <w:t>Результаты работ по проведению кадастровой (массовой) оценки недвижимости ожидаются в начале 2012 года.</w:t>
      </w:r>
    </w:p>
    <w:p w:rsidR="00000000" w:rsidRDefault="001034A9">
      <w:pPr>
        <w:pStyle w:val="ConsPlusNormal"/>
        <w:widowControl/>
        <w:ind w:firstLine="540"/>
        <w:jc w:val="both"/>
      </w:pPr>
      <w:r>
        <w:t>Соответственно подготовка поправок Правительства Российской Федерации к проекту Федерального закона N 51763-4 "О внесени</w:t>
      </w:r>
      <w:r>
        <w:t>и изменений в часть вторую Налогового кодекса Российской Федерации и некоторые другие законодательные акты Российской Федерации" на основании анализа результатов работ по проведению кадастровой (массовой) оценки недвижимости и формированию кадастра недвижи</w:t>
      </w:r>
      <w:r>
        <w:t>мости запланирована на IV квартал 2012 года.</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6. Налогообложение имущества (в том числе земельных участков)</w:t>
      </w:r>
    </w:p>
    <w:p w:rsidR="00000000" w:rsidRDefault="001034A9">
      <w:pPr>
        <w:pStyle w:val="ConsPlusNormal"/>
        <w:widowControl/>
        <w:ind w:firstLine="540"/>
        <w:jc w:val="both"/>
      </w:pPr>
    </w:p>
    <w:p w:rsidR="00000000" w:rsidRDefault="001034A9">
      <w:pPr>
        <w:pStyle w:val="ConsPlusNormal"/>
        <w:widowControl/>
        <w:ind w:firstLine="540"/>
        <w:jc w:val="both"/>
      </w:pPr>
      <w:r>
        <w:t>В целях урегулирования вопросов, связанных с налогообложением имущества (в том числе земельных участков), переданного в паевой инвестиционный фонд,</w:t>
      </w:r>
      <w:r>
        <w:t xml:space="preserve"> и повышения эффективности администрирования налога на имущество организаций и земельного налога Федеральным законом от 27 ноября 2010 г. N 308-ФЗ "О внесении изменений в главы 30 и 31 части второй Налогового кодекса Российской Федерации" обязанности по уп</w:t>
      </w:r>
      <w:r>
        <w:t>лате этих налогов в отношении имущества (в том числе земельных участков) паевого инвестиционного фонда возложены на управляющие компании.</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7. Налог на добычу полезных ископаемых</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7.1. НДПИ, взимаемый при добыче углеводородного сырья (нефти и природного газа)</w:t>
      </w:r>
    </w:p>
    <w:p w:rsidR="00000000" w:rsidRDefault="001034A9">
      <w:pPr>
        <w:pStyle w:val="ConsPlusNormal"/>
        <w:widowControl/>
        <w:ind w:firstLine="540"/>
        <w:jc w:val="both"/>
      </w:pPr>
      <w:r>
        <w:t>За прошедший период:</w:t>
      </w:r>
    </w:p>
    <w:p w:rsidR="00000000" w:rsidRDefault="001034A9">
      <w:pPr>
        <w:pStyle w:val="ConsPlusNormal"/>
        <w:widowControl/>
        <w:ind w:firstLine="540"/>
        <w:jc w:val="both"/>
      </w:pPr>
      <w:r>
        <w:t>- принят Федеральный закон от 27 ноября 2010 г. N 307-ФЗ "О внесении изменений в статьи 342 и 361 части второй Налогового кодекса Российской Федерации", вн</w:t>
      </w:r>
      <w:r>
        <w:t>есенный Правительством Российской Федерации, предусматривающий индексацию ставок НДПИ при добыче нефти и горючего природного газа темпами, превышающими прогнозируемую инфляцию;</w:t>
      </w:r>
    </w:p>
    <w:p w:rsidR="00000000" w:rsidRDefault="001034A9">
      <w:pPr>
        <w:pStyle w:val="ConsPlusNormal"/>
        <w:widowControl/>
        <w:ind w:firstLine="540"/>
        <w:jc w:val="both"/>
      </w:pPr>
      <w:r>
        <w:t>- принят Федеральный закон от 4 июня 2011 г. N 125-ФЗ "О внесении изменения в с</w:t>
      </w:r>
      <w:r>
        <w:t>татью 342 части второй Налогового кодекса Российской Федерации", предусматривающего установление ставки НДПИ в размере 0 рублей в отношении газа горючего природного, используемого при разработке месторождений углеводородов с применением технологии сайклинг</w:t>
      </w:r>
      <w:r>
        <w:t>-процесса;</w:t>
      </w:r>
    </w:p>
    <w:p w:rsidR="00000000" w:rsidRDefault="001034A9">
      <w:pPr>
        <w:pStyle w:val="ConsPlusNormal"/>
        <w:widowControl/>
        <w:ind w:firstLine="540"/>
        <w:jc w:val="both"/>
      </w:pPr>
      <w:r>
        <w:t>- принят Федеральный закон от 21 июля 2011 г. N 258-ФЗ "О внесении изменений в статью 342 части второй Налогового кодекса Российской Федерации", устанавливающий: понижающий коэффициент к базовой ставке налога на добычу полезных ископаемых при до</w:t>
      </w:r>
      <w:r>
        <w:t>быче нефти на участках недр, с начальными извлекаемыми запасами нефти до 5 млн. тонн; ставку НДПИ в размере 0 рублей в отношении нефти, добытой на участках недр, расположенных севернее 65 градуса северной широты в границах Ямало-Ненецкого АО; ставку НДПИ в</w:t>
      </w:r>
      <w:r>
        <w:t xml:space="preserve"> размере 0 рублей в отношении газа горючего природного, использованного для производства сжиженного природного газа, добытого на участках недр, расположенных полностью или частично на территории полуострова Ямал в Ямало-Ненецком автономном округе, а также </w:t>
      </w:r>
      <w:r>
        <w:t>газового конденсата, добытого совместно с указанным газом; ставку НДПИ в размере 0 рублей в отношении нефти, добытой на участках недр, расположенных полностью или частично в Черном и Охотском морях.</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7.2. НДПИ, взимаемый при добыче твердых полезных ископае</w:t>
      </w:r>
      <w:r>
        <w:t>мых</w:t>
      </w:r>
    </w:p>
    <w:p w:rsidR="00000000" w:rsidRDefault="001034A9">
      <w:pPr>
        <w:pStyle w:val="ConsPlusNormal"/>
        <w:widowControl/>
        <w:ind w:firstLine="540"/>
        <w:jc w:val="both"/>
      </w:pPr>
      <w:r>
        <w:t>В рамках реализации Основных направлений налоговой политики, одобренных Правительством Российской Федерации в предыдущие периоды, были внесены следующие изменения в законодательство о налогах и сборах.</w:t>
      </w:r>
    </w:p>
    <w:p w:rsidR="00000000" w:rsidRDefault="001034A9">
      <w:pPr>
        <w:pStyle w:val="ConsPlusNormal"/>
        <w:widowControl/>
        <w:ind w:firstLine="540"/>
        <w:jc w:val="both"/>
      </w:pPr>
      <w:r>
        <w:t>Принят Федеральный закон от 28 декабря 2010 г. N 4</w:t>
      </w:r>
      <w:r>
        <w:t xml:space="preserve">25-ФЗ "О внесении изменений в главы 25 и 26 части второй Налогового кодекса Российской Федерации", предусматривающий введение нового порядка исчисления НДПИ при добыче угля и установление порядка налогового учета </w:t>
      </w:r>
      <w:r>
        <w:lastRenderedPageBreak/>
        <w:t>расходов налогоплательщиков, связанных с об</w:t>
      </w:r>
      <w:r>
        <w:t>еспечением безопасных условий труда при добыче угля на участках недр с высоким уровнем метанообильности и склонностью угля к самовозгоранию.</w:t>
      </w:r>
    </w:p>
    <w:p w:rsidR="00000000" w:rsidRDefault="001034A9">
      <w:pPr>
        <w:pStyle w:val="ConsPlusNormal"/>
        <w:widowControl/>
        <w:ind w:firstLine="540"/>
        <w:jc w:val="both"/>
      </w:pPr>
      <w:r>
        <w:t>В частности, установлена возможность применения налогового вычета путем уменьшения суммы исчисленного налога на рас</w:t>
      </w:r>
      <w:r>
        <w:t>ходы, связанные с обеспечением безопасных условий труда при добыче угля. Предельная величина налогового вычета определяется как произведение суммы налога и коэффициента Кт, определяемого для каждого участка недр с учетом степени метанообильности и склоннос</w:t>
      </w:r>
      <w:r>
        <w:t>ти угля к самовозгоранию.</w:t>
      </w:r>
    </w:p>
    <w:p w:rsidR="00000000" w:rsidRDefault="001034A9">
      <w:pPr>
        <w:pStyle w:val="ConsPlusNormal"/>
        <w:widowControl/>
        <w:ind w:firstLine="540"/>
        <w:jc w:val="both"/>
      </w:pPr>
      <w:r>
        <w:t>Значение Кт устанавливается в принятой налогоплательщиком учетной политике и не может превышать 0,3.</w:t>
      </w:r>
    </w:p>
    <w:p w:rsidR="00000000" w:rsidRDefault="001034A9">
      <w:pPr>
        <w:pStyle w:val="ConsPlusNormal"/>
        <w:widowControl/>
        <w:ind w:firstLine="540"/>
        <w:jc w:val="both"/>
      </w:pPr>
      <w:r>
        <w:t>Налогоплательщики по своему выбору смогут использовать указанный налоговый вычет либо учитывать произведенные расходы при исчисле</w:t>
      </w:r>
      <w:r>
        <w:t>нии налоговой базы по налогу на прибыль организаций.</w:t>
      </w:r>
    </w:p>
    <w:p w:rsidR="00000000" w:rsidRDefault="001034A9">
      <w:pPr>
        <w:pStyle w:val="ConsPlusNormal"/>
        <w:widowControl/>
        <w:ind w:firstLine="540"/>
        <w:jc w:val="both"/>
      </w:pPr>
      <w:r>
        <w:t>Принят Федеральный закон от 21 июля 2011 г. N 258-ФЗ "О внесении изменений в статью 342 части второй Налогового кодекса Российской Федерации", устанавливающий ставку НДПИ в размере 0 процентов при добыче</w:t>
      </w:r>
      <w:r>
        <w:t xml:space="preserve"> кондиционных руд олова на территории Дальневосточного федерального округа, сроком на 5 лет.</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8. Водный налог</w:t>
      </w:r>
    </w:p>
    <w:p w:rsidR="00000000" w:rsidRDefault="001034A9">
      <w:pPr>
        <w:pStyle w:val="ConsPlusNormal"/>
        <w:widowControl/>
        <w:ind w:firstLine="540"/>
        <w:jc w:val="both"/>
      </w:pPr>
    </w:p>
    <w:p w:rsidR="00000000" w:rsidRDefault="001034A9">
      <w:pPr>
        <w:pStyle w:val="ConsPlusNormal"/>
        <w:widowControl/>
        <w:ind w:firstLine="540"/>
        <w:jc w:val="both"/>
      </w:pPr>
      <w:r>
        <w:t>Проект Федерального закона "О внесении изменений в главу 25.2 части второй Налогового кодекса Российской Федерации и Водный кодекс Российской Фед</w:t>
      </w:r>
      <w:r>
        <w:t>ерации", предусматривающего индексацию ставок водного налога, а также уточнение понятия плательщика водного налога и объекта налогообложения водным налогом, рассматривается Правительством Российской Федерации.</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9. Налогообложение в рамках специальных налог</w:t>
      </w:r>
      <w:r>
        <w:t>овых режимов</w:t>
      </w:r>
    </w:p>
    <w:p w:rsidR="00000000" w:rsidRDefault="001034A9">
      <w:pPr>
        <w:pStyle w:val="ConsPlusNormal"/>
        <w:widowControl/>
        <w:ind w:firstLine="540"/>
        <w:jc w:val="both"/>
      </w:pPr>
    </w:p>
    <w:p w:rsidR="00000000" w:rsidRDefault="001034A9">
      <w:pPr>
        <w:pStyle w:val="ConsPlusNormal"/>
        <w:widowControl/>
        <w:ind w:firstLine="540"/>
        <w:jc w:val="both"/>
      </w:pPr>
      <w:r>
        <w:t>Государственной Думой Федерального Собрания Российской Федерации принят в первом чтении проект Федерального закона "О внесении изменений в статью 18 части первой, часть вторую Налогового кодекса Российской Федерации, некоторые законодательные</w:t>
      </w:r>
      <w:r>
        <w:t xml:space="preserve"> акты Российской Федерации и признании утратившими силу некоторых законодательных актов (положений законодательных актов) Российской Федерации".</w:t>
      </w:r>
    </w:p>
    <w:p w:rsidR="00000000" w:rsidRDefault="001034A9">
      <w:pPr>
        <w:pStyle w:val="ConsPlusNormal"/>
        <w:widowControl/>
        <w:ind w:firstLine="540"/>
        <w:jc w:val="both"/>
      </w:pPr>
      <w:r>
        <w:t>Предусматривается совершенствование патентной системы налогообложения для индивидуальных предпринимателей, а та</w:t>
      </w:r>
      <w:r>
        <w:t>кже системы налогообложения в виде единого налога на вмененный доход для отдельных видов деятельности, упрощенной системы налогообложения и системы налогообложения для сельскохозяйственных товаропроизводителей (единого сельскохозяйственного налога).</w:t>
      </w:r>
    </w:p>
    <w:p w:rsidR="00000000" w:rsidRDefault="001034A9">
      <w:pPr>
        <w:pStyle w:val="ConsPlusNormal"/>
        <w:widowControl/>
        <w:ind w:firstLine="540"/>
        <w:jc w:val="both"/>
      </w:pPr>
      <w:r>
        <w:t>Указанным законопроектом предусматривается постепенный отказ от системы налогообложения в виде единого налога на вмененный доход и развитие патентной системы налогообложения.</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10. Налоговое администрирование</w:t>
      </w:r>
    </w:p>
    <w:p w:rsidR="00000000" w:rsidRDefault="001034A9">
      <w:pPr>
        <w:pStyle w:val="ConsPlusNormal"/>
        <w:widowControl/>
        <w:ind w:firstLine="540"/>
        <w:jc w:val="both"/>
      </w:pPr>
    </w:p>
    <w:p w:rsidR="00000000" w:rsidRDefault="001034A9">
      <w:pPr>
        <w:pStyle w:val="ConsPlusNormal"/>
        <w:widowControl/>
        <w:ind w:firstLine="540"/>
        <w:jc w:val="both"/>
      </w:pPr>
      <w:r>
        <w:t>С 2 сентября 2010 года вступил в силу (за исклю</w:t>
      </w:r>
      <w:r>
        <w:t>чением отдельных положений) Федеральный закон от 27 июля 2010 г. N 229-ФЗ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w:t>
      </w:r>
      <w:r>
        <w:t>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 подготовленный Прави</w:t>
      </w:r>
      <w:r>
        <w:t>тельством Российской Федерации.</w:t>
      </w:r>
    </w:p>
    <w:p w:rsidR="00000000" w:rsidRDefault="001034A9">
      <w:pPr>
        <w:pStyle w:val="ConsPlusNormal"/>
        <w:widowControl/>
        <w:ind w:firstLine="540"/>
        <w:jc w:val="both"/>
      </w:pPr>
      <w:r>
        <w:t xml:space="preserve">Указанный Федеральный закон направлен на совершенствование правового регулирования порядка учета организаций и физических лиц в налоговых органах, порядка предоставления отсрочки (рассрочки) по уплате налогов, сборов, пеней </w:t>
      </w:r>
      <w:r>
        <w:t>и штрафов, инвестиционного налогового кредита, порядка списания недоимки и задолженности по пеням и штрафам, признанных безнадежными к взысканию, мер ответственности за налоговые правонарушения, а также иных вопросов налогового администрирования.</w:t>
      </w:r>
    </w:p>
    <w:p w:rsidR="00000000" w:rsidRDefault="001034A9">
      <w:pPr>
        <w:pStyle w:val="ConsPlusNormal"/>
        <w:widowControl/>
        <w:ind w:firstLine="540"/>
        <w:jc w:val="both"/>
      </w:pPr>
      <w:r>
        <w:lastRenderedPageBreak/>
        <w:t>Например,</w:t>
      </w:r>
      <w:r>
        <w:t xml:space="preserve"> с 2 сентября 2010 года отменена обязанность организаций сообщать в налоговые органы о создании филиалов и представительств. Постановка на учет организации по месту их нахождения производится на основании сведений, содержащихся в Едином государственном рее</w:t>
      </w:r>
      <w:r>
        <w:t>стре юридических лиц.</w:t>
      </w:r>
    </w:p>
    <w:p w:rsidR="00000000" w:rsidRDefault="001034A9">
      <w:pPr>
        <w:pStyle w:val="ConsPlusNormal"/>
        <w:widowControl/>
        <w:ind w:firstLine="540"/>
        <w:jc w:val="both"/>
      </w:pPr>
      <w:r>
        <w:t>Постановка на учет (снятие с учета) организаций по месту нахождения иных обособленных подразделений производится на основании сообщений налогоплательщика об их создании и прекращении деятельности соответственно (исключена процедура по</w:t>
      </w:r>
      <w:r>
        <w:t>дачи заявления о постановке на учет (снятии с учета)).</w:t>
      </w:r>
    </w:p>
    <w:p w:rsidR="00000000" w:rsidRDefault="001034A9">
      <w:pPr>
        <w:pStyle w:val="ConsPlusNormal"/>
        <w:widowControl/>
        <w:ind w:firstLine="540"/>
        <w:jc w:val="both"/>
      </w:pPr>
      <w:r>
        <w:t>Введен запрет повторного истребования документов в рамках процедуры истребования у налогоплательщика документов о деятельности его контрагентов.</w:t>
      </w:r>
    </w:p>
    <w:p w:rsidR="00000000" w:rsidRDefault="001034A9">
      <w:pPr>
        <w:pStyle w:val="ConsPlusNormal"/>
        <w:widowControl/>
        <w:ind w:firstLine="540"/>
        <w:jc w:val="both"/>
      </w:pPr>
      <w:r>
        <w:t xml:space="preserve">Отменены расчеты по авансовым платежам по транспортному </w:t>
      </w:r>
      <w:r>
        <w:t>и земельному налогам.</w:t>
      </w:r>
    </w:p>
    <w:p w:rsidR="00000000" w:rsidRDefault="001034A9">
      <w:pPr>
        <w:pStyle w:val="ConsPlusNormal"/>
        <w:widowControl/>
        <w:ind w:firstLine="540"/>
        <w:jc w:val="both"/>
      </w:pPr>
      <w:r>
        <w:t>Статьей 59 Кодекса установлен конкретный перечень оснований признания безнадежными к взысканию и списания недоимки и задолженности по пеням и штрафам. В качестве основания признания задолженности безнадежной установлены случаи приняти</w:t>
      </w:r>
      <w:r>
        <w:t>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(вынесение судом определения об отказе в восстановлении пропущенного с</w:t>
      </w:r>
      <w:r>
        <w:t>рока подачи заявления в суд о взыскании недоимки, задолженности по пеням и штрафам).</w:t>
      </w:r>
    </w:p>
    <w:p w:rsidR="00000000" w:rsidRDefault="001034A9">
      <w:pPr>
        <w:pStyle w:val="ConsPlusNormal"/>
        <w:widowControl/>
        <w:ind w:firstLine="540"/>
        <w:jc w:val="both"/>
      </w:pPr>
      <w:r>
        <w:t>Одновременно уточнены составы налоговых правонарушений и в ряде случаев увеличены размеры санкций за указанные правонарушения.</w:t>
      </w:r>
    </w:p>
    <w:p w:rsidR="00000000" w:rsidRDefault="001034A9">
      <w:pPr>
        <w:pStyle w:val="ConsPlusNormal"/>
        <w:widowControl/>
        <w:ind w:firstLine="540"/>
        <w:jc w:val="both"/>
      </w:pPr>
      <w:r>
        <w:t xml:space="preserve">Принят Федеральный закон от 18 июля 2011 г. </w:t>
      </w:r>
      <w:r>
        <w:t>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Новое законодательное регулирование налогового контроля за трансфертным ценообразованием</w:t>
      </w:r>
      <w:r>
        <w:t xml:space="preserve"> направлено, с одной стороны, на эффективное противодействие использованию трансфертных цен в сделках между организациями, осуществляющими свою деятельность в юрисдикциях с различными налоговыми режимами, в целях уклонения от налогообложения. С другой стор</w:t>
      </w:r>
      <w:r>
        <w:t>оны, не должно создавать препятствий для деятельности добросовестных налогоплательщиков на территории Российской Федерации, в том числе крупных холдинговых компаний.</w:t>
      </w:r>
    </w:p>
    <w:p w:rsidR="00000000" w:rsidRDefault="001034A9">
      <w:pPr>
        <w:pStyle w:val="ConsPlusNormal"/>
        <w:widowControl/>
        <w:ind w:firstLine="540"/>
        <w:jc w:val="both"/>
      </w:pPr>
      <w:r>
        <w:t>Проект Федерального закона "О внесении изменений в части первую и вторую Налогового кодекс</w:t>
      </w:r>
      <w:r>
        <w:t>а Российской Федерации в связи с созданием консолидированной группы налогоплательщиков", внесенный Правительством Российской Федерации, принят Государственной Думой Федерального Собрания Российской Федерации 22 октября 2010 года в первом чтении.</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11. Упрощ</w:t>
      </w:r>
      <w:r>
        <w:t>ение администрирования налогообложения физических лиц</w:t>
      </w:r>
    </w:p>
    <w:p w:rsidR="00000000" w:rsidRDefault="001034A9">
      <w:pPr>
        <w:pStyle w:val="ConsPlusNormal"/>
        <w:widowControl/>
        <w:ind w:firstLine="540"/>
        <w:jc w:val="both"/>
      </w:pPr>
    </w:p>
    <w:p w:rsidR="00000000" w:rsidRDefault="001034A9">
      <w:pPr>
        <w:pStyle w:val="ConsPlusNormal"/>
        <w:widowControl/>
        <w:ind w:firstLine="540"/>
        <w:jc w:val="both"/>
      </w:pPr>
      <w:r>
        <w:t>В главу 23 "Налог на доходы физических лиц" Кодекса внесены изменения, направленные на уточнение порядка определения налоговой базы по операциям с ценными бумагами и финансовыми инструментами срочных с</w:t>
      </w:r>
      <w:r>
        <w:t>делок.</w:t>
      </w:r>
    </w:p>
    <w:p w:rsidR="00000000" w:rsidRDefault="001034A9">
      <w:pPr>
        <w:pStyle w:val="ConsPlusNormal"/>
        <w:widowControl/>
        <w:ind w:firstLine="540"/>
        <w:jc w:val="both"/>
      </w:pPr>
      <w:r>
        <w:t>Уточнено понятие "налогового агента" для целей статьи 214.1, а также статей 214.3 и 214.4 Кодекса, устанавливающих особенности определения налоговой базы по операциям РЕПО и операциям займа ценными бумагами, скорректирован порядок исчисления и удерж</w:t>
      </w:r>
      <w:r>
        <w:t>ания налога налоговым агентом.</w:t>
      </w:r>
    </w:p>
    <w:p w:rsidR="00000000" w:rsidRDefault="001034A9">
      <w:pPr>
        <w:pStyle w:val="ConsPlusNormal"/>
        <w:widowControl/>
        <w:ind w:firstLine="540"/>
        <w:jc w:val="both"/>
      </w:pPr>
      <w:r>
        <w:t>Для реализации государственной политики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w:t>
      </w:r>
      <w:r>
        <w:t xml:space="preserve"> власти, а также стимулирования создания такими гражданами, открывшими собственное дело, дополнительных рабочих мест был предусмотрен особый порядок учета для целей определения налоговой базы по налогу на доходы физических лиц соответствующих выплат.</w:t>
      </w:r>
    </w:p>
    <w:p w:rsidR="00000000" w:rsidRDefault="001034A9">
      <w:pPr>
        <w:pStyle w:val="ConsPlusNormal"/>
        <w:widowControl/>
        <w:ind w:firstLine="540"/>
        <w:jc w:val="both"/>
      </w:pPr>
      <w:r>
        <w:t>Измен</w:t>
      </w:r>
      <w:r>
        <w:t>ены правила обращения налогового органа в суд с заявлением о взыскании с физического лица задолженности по налогам, сумма которой не превышает 1500 рублей.</w:t>
      </w:r>
    </w:p>
    <w:p w:rsidR="00000000" w:rsidRDefault="001034A9">
      <w:pPr>
        <w:pStyle w:val="ConsPlusNormal"/>
        <w:widowControl/>
        <w:ind w:firstLine="540"/>
        <w:jc w:val="both"/>
      </w:pPr>
      <w:r>
        <w:t>Федеральный закон от 29 ноября 2010 г. N 324-ФЗ "О внесении изменений в часть первую Налогового коде</w:t>
      </w:r>
      <w:r>
        <w:t>кса Российской Федерации" призван сократить случаи обращения в суд налогового органа за взысканием незначительных сумм.</w:t>
      </w:r>
    </w:p>
    <w:p w:rsidR="00000000" w:rsidRDefault="001034A9">
      <w:pPr>
        <w:pStyle w:val="ConsPlusNormal"/>
        <w:widowControl/>
        <w:ind w:firstLine="540"/>
        <w:jc w:val="both"/>
      </w:pPr>
      <w:r>
        <w:t>Только в случае, если в течение трех лет со дня истечения срока самого раннего требования об уплате налога, сбора, пеней и штрафов, напр</w:t>
      </w:r>
      <w:r>
        <w:t xml:space="preserve">авленного физическому лицу, общая сумма задолженности не превысила 1500 рублей, налоговый орган (таможенный орган) обращается в суд </w:t>
      </w:r>
      <w:r>
        <w:lastRenderedPageBreak/>
        <w:t>с заявлением о взыскании задолженности в течение шести месяцев со дня истечения указанного трехлетнего срока.</w:t>
      </w:r>
    </w:p>
    <w:p w:rsidR="00000000" w:rsidRDefault="001034A9">
      <w:pPr>
        <w:pStyle w:val="ConsPlusNormal"/>
        <w:widowControl/>
        <w:ind w:firstLine="540"/>
        <w:jc w:val="both"/>
      </w:pPr>
      <w:r>
        <w:t xml:space="preserve">Новые правила </w:t>
      </w:r>
      <w:r>
        <w:t>распространяются на требования об уплате налога, сборов, пеней и штрафов, направленных налогоплательщикам после 2 января 2011 года.</w:t>
      </w:r>
    </w:p>
    <w:p w:rsidR="00000000" w:rsidRDefault="001034A9">
      <w:pPr>
        <w:pStyle w:val="ConsPlusNormal"/>
        <w:widowControl/>
        <w:ind w:firstLine="540"/>
        <w:jc w:val="both"/>
      </w:pPr>
      <w:r>
        <w:t>В законодательстве о налогах и сборах закреплены условия для установления единого срока уплаты транспортного налога, земельн</w:t>
      </w:r>
      <w:r>
        <w:t>ого налога и налога на имущество физических лиц - 1 ноября года, следующего за истекшим налоговым периодом.</w:t>
      </w:r>
    </w:p>
    <w:p w:rsidR="00000000" w:rsidRDefault="001034A9">
      <w:pPr>
        <w:pStyle w:val="ConsPlusNormal"/>
        <w:widowControl/>
        <w:ind w:firstLine="540"/>
        <w:jc w:val="both"/>
      </w:pPr>
      <w:r>
        <w:t>Таким образом, срок уплаты данных налогов за 2011 год может быть определен как 1 ноября 2012 года.</w:t>
      </w:r>
    </w:p>
    <w:p w:rsidR="00000000" w:rsidRDefault="001034A9">
      <w:pPr>
        <w:pStyle w:val="ConsPlusNormal"/>
        <w:widowControl/>
        <w:ind w:firstLine="540"/>
        <w:jc w:val="both"/>
      </w:pPr>
      <w:r>
        <w:t>Установление единого срока уплаты, отмена авансов</w:t>
      </w:r>
      <w:r>
        <w:t>ых платежей, наряду с предоставленными Кодексом дополнительными возможностями по улучшению информационного взаимодействия налоговых и регистрирующих органов, значительно сокращают количество ошибок в начислении платежей, снижают случаи перерасчетов. В коне</w:t>
      </w:r>
      <w:r>
        <w:t>чном итоге создаются комфортные условия для исполнения налогоплательщиками обязанностей по уплате налогов.</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12. Международное сотрудничество, интеграция в международные организации и соглашения, информационный обмен</w:t>
      </w:r>
    </w:p>
    <w:p w:rsidR="00000000" w:rsidRDefault="001034A9">
      <w:pPr>
        <w:pStyle w:val="ConsPlusNormal"/>
        <w:widowControl/>
        <w:ind w:firstLine="540"/>
        <w:jc w:val="both"/>
      </w:pPr>
    </w:p>
    <w:p w:rsidR="00000000" w:rsidRDefault="001034A9">
      <w:pPr>
        <w:pStyle w:val="ConsPlusNormal"/>
        <w:widowControl/>
        <w:ind w:firstLine="540"/>
        <w:jc w:val="both"/>
      </w:pPr>
      <w:r>
        <w:t xml:space="preserve">В октябре </w:t>
      </w:r>
      <w:r>
        <w:t>2010 года подписан протокол к российско-кипрскому соглашению об избежании двойного налогообложения.</w:t>
      </w:r>
    </w:p>
    <w:p w:rsidR="00000000" w:rsidRDefault="001034A9">
      <w:pPr>
        <w:pStyle w:val="ConsPlusNormal"/>
        <w:widowControl/>
        <w:ind w:firstLine="540"/>
        <w:jc w:val="both"/>
      </w:pPr>
      <w:r>
        <w:t>Новые положения, вводимые в соглашение протоколом, позволят российским налоговым органам повысить эффективность обмена информацией с кипрскими налоговыми ор</w:t>
      </w:r>
      <w:r>
        <w:t>ганами, в том числе сведениями о реальных получателях доходов в виде дивидендов, процентов и роялти от источников в Российской Федерации, а также более эффективно противодействовать использованию соглашения в неблаговидных целях налоговыми резидентами Росс</w:t>
      </w:r>
      <w:r>
        <w:t>ии, Кипра и третьих стран. Кроме того, Российская Федерация получает право налогообложения некоторых дополнительных видов доходов, ранее не подлежавших налогообложению в России, в частности - по паям инвестиционных фондов, включая фонды недвижимости, а так</w:t>
      </w:r>
      <w:r>
        <w:t>же доходов от отчуждения акций компаний, капитал которых более чем на 50% представлен недвижимым имуществом.</w:t>
      </w:r>
    </w:p>
    <w:p w:rsidR="00000000" w:rsidRDefault="001034A9">
      <w:pPr>
        <w:pStyle w:val="ConsPlusNormal"/>
        <w:widowControl/>
        <w:ind w:firstLine="540"/>
        <w:jc w:val="both"/>
      </w:pPr>
      <w:r>
        <w:t>В настоящее время протокол готовится к ратификации.</w:t>
      </w:r>
    </w:p>
    <w:p w:rsidR="00000000" w:rsidRDefault="001034A9">
      <w:pPr>
        <w:pStyle w:val="ConsPlusNormal"/>
        <w:widowControl/>
        <w:ind w:firstLine="540"/>
        <w:jc w:val="both"/>
      </w:pPr>
      <w:r>
        <w:t>Также подписано российско-латвийское соглашение об избежании двойного налогообложения, положени</w:t>
      </w:r>
      <w:r>
        <w:t>я которого позволят устранить двойное налогообложение доходов российских организаций и физических лиц от источников в Латвии, а также наладить эффективный информационный обмен с налоговыми органами Латвии и противодействовать злоупотреблениям в налоговой о</w:t>
      </w:r>
      <w:r>
        <w:t>бласти.</w:t>
      </w:r>
    </w:p>
    <w:p w:rsidR="00000000" w:rsidRDefault="001034A9">
      <w:pPr>
        <w:pStyle w:val="ConsPlusNormal"/>
        <w:widowControl/>
        <w:ind w:firstLine="540"/>
        <w:jc w:val="both"/>
      </w:pPr>
      <w:r>
        <w:t>Завершены аналогичные переговоры с Белоруссией, Люксембургом, Швейцарией, а также Китайской Народной Республикой, продолжаются соответствующие переговоры с Австрией, Казахстаном, Мальтой, Финляндией.</w:t>
      </w:r>
    </w:p>
    <w:p w:rsidR="00000000" w:rsidRDefault="001034A9">
      <w:pPr>
        <w:pStyle w:val="ConsPlusNormal"/>
        <w:widowControl/>
        <w:ind w:firstLine="540"/>
        <w:jc w:val="both"/>
      </w:pPr>
      <w:r>
        <w:t>В Правительство Российской Федерации направлен п</w:t>
      </w:r>
      <w:r>
        <w:t>роект распоряжения о подписании соглашения с Объединенными Арабскими Эмиратами о налогообложении доходов от инвестиций государственных учреждений. Готовятся проекты распоряжений о подписании протокола к действующему соглашению об избежании двойного налогоо</w:t>
      </w:r>
      <w:r>
        <w:t>бложения с Арменией и нового соглашения с Бельгией, завершается подготовка законопроектов о ратификации соглашений с Аргентиной и Чили.</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13. Налоговая нагрузка в российской экономике</w:t>
      </w:r>
    </w:p>
    <w:p w:rsidR="00000000" w:rsidRDefault="001034A9">
      <w:pPr>
        <w:pStyle w:val="ConsPlusNormal"/>
        <w:widowControl/>
        <w:ind w:firstLine="540"/>
        <w:jc w:val="both"/>
      </w:pPr>
    </w:p>
    <w:p w:rsidR="00000000" w:rsidRDefault="001034A9">
      <w:pPr>
        <w:pStyle w:val="ConsPlusNormal"/>
        <w:widowControl/>
        <w:ind w:firstLine="540"/>
        <w:jc w:val="both"/>
      </w:pPr>
      <w:r>
        <w:t>При обсуждении налоговой политики важным является вопрос о действующем у</w:t>
      </w:r>
      <w:r>
        <w:t>ровне налоговой нагрузки в российской экономике, а также о том, насколько налоговая нагрузка в России сопоставима с аналогичными показателями в различных странах, является ли она высокой или низкой.</w:t>
      </w:r>
    </w:p>
    <w:p w:rsidR="00000000" w:rsidRDefault="001034A9">
      <w:pPr>
        <w:pStyle w:val="ConsPlusNormal"/>
        <w:widowControl/>
        <w:ind w:firstLine="540"/>
        <w:jc w:val="both"/>
      </w:pPr>
      <w:r>
        <w:t xml:space="preserve">В ходе анализа налоговой нагрузки в экономике необходимо </w:t>
      </w:r>
      <w:r>
        <w:t>иметь в виду по меньшей мере два обстоятельства, оказывающие влияние на характер и интерпретацию выводов из такого анализа.</w:t>
      </w:r>
    </w:p>
    <w:p w:rsidR="00000000" w:rsidRDefault="001034A9">
      <w:pPr>
        <w:pStyle w:val="ConsPlusNormal"/>
        <w:widowControl/>
        <w:ind w:firstLine="540"/>
        <w:jc w:val="both"/>
      </w:pPr>
      <w:r>
        <w:t>Во-первых, для стран, налоговые доходы которых в большой степени зависят от внешнеторговой ценовой конъюнктуры, принято разделять на</w:t>
      </w:r>
      <w:r>
        <w:t xml:space="preserve">логовые доходы, обусловленные исключительно колебаниями такой конъюнктуры, и налоговые доходы, которые более устойчивы к </w:t>
      </w:r>
      <w:r>
        <w:lastRenderedPageBreak/>
        <w:t>внешнеторговой конъюнктуре. В этой связи принято разделять конъюнктурную и структурную составляющие налоговой нагрузки.</w:t>
      </w:r>
    </w:p>
    <w:p w:rsidR="00000000" w:rsidRDefault="001034A9">
      <w:pPr>
        <w:pStyle w:val="ConsPlusNormal"/>
        <w:widowControl/>
        <w:ind w:firstLine="540"/>
        <w:jc w:val="both"/>
      </w:pPr>
      <w:r>
        <w:t>При этом структ</w:t>
      </w:r>
      <w:r>
        <w:t>урная составляющая налоговых доходов обусловлена природой и структурой экономического роста в стране, а также фундаментальными факторами налоговых доходов - такими, как изменения налогового законодательства и налоговых ставок. Структурная компонента налого</w:t>
      </w:r>
      <w:r>
        <w:t>вой нагрузки - это тот уровень нагрузки, который складывается при среднемноголетней внешнеэкономической конъюнктуре.</w:t>
      </w:r>
    </w:p>
    <w:p w:rsidR="00000000" w:rsidRDefault="001034A9">
      <w:pPr>
        <w:pStyle w:val="ConsPlusNormal"/>
        <w:widowControl/>
        <w:ind w:firstLine="540"/>
        <w:jc w:val="both"/>
      </w:pPr>
      <w:r>
        <w:t>В свою очередь, конъюнктурная компонента налоговых доходов обусловлена лишь колебаниями конъюнктуры мировых рынков, на которых торгуются эк</w:t>
      </w:r>
      <w:r>
        <w:t>спортируемые из страны товары.</w:t>
      </w:r>
    </w:p>
    <w:p w:rsidR="00000000" w:rsidRDefault="001034A9">
      <w:pPr>
        <w:pStyle w:val="ConsPlusNormal"/>
        <w:widowControl/>
        <w:ind w:firstLine="540"/>
        <w:jc w:val="both"/>
      </w:pPr>
      <w:r>
        <w:t>Поскольку колебания внешнеторговой конъюнктуры не могут быть прогнозированы с достаточной степенью достоверности, планирование бюджетных расходов должно осуществляться исходя из прогноза структурной составляющей налоговых дох</w:t>
      </w:r>
      <w:r>
        <w:t>одов. Одновременно с этим налоговые доходы, имеющие конъюнктурный характер, могут сберегаться с целью сглаживания негативных последствий внешних шоков в периоды неблагоприятной внешнеторговой конъюнктуры.</w:t>
      </w:r>
    </w:p>
    <w:p w:rsidR="00000000" w:rsidRDefault="001034A9">
      <w:pPr>
        <w:pStyle w:val="ConsPlusNormal"/>
        <w:widowControl/>
        <w:ind w:firstLine="540"/>
        <w:jc w:val="both"/>
      </w:pPr>
      <w:r>
        <w:t>Таким образом, в условиях существенной доли конъюнк</w:t>
      </w:r>
      <w:r>
        <w:t>турной составляющей налоговых доходов краткосрочные (в пределах нескольких лет) колебания налоговой нагрузки (например, доли налоговых доходов в ВВП) не могут являться характеристикой изменений в налоговой системе, оказывающих влияние на общую величину нал</w:t>
      </w:r>
      <w:r>
        <w:t>оговой нагрузки в стране.</w:t>
      </w:r>
    </w:p>
    <w:p w:rsidR="00000000" w:rsidRDefault="001034A9">
      <w:pPr>
        <w:pStyle w:val="ConsPlusNormal"/>
        <w:widowControl/>
        <w:ind w:firstLine="540"/>
        <w:jc w:val="both"/>
      </w:pPr>
      <w:r>
        <w:t>Иными словами, высокий уровень налоговых доходов бюджетов в периоды благоприятной внешнеэкономической конъюнктуры сам по себе не является характеристикой высокой налоговой нагрузки, а снижение доходов в период неблагоприятной конъ</w:t>
      </w:r>
      <w:r>
        <w:t xml:space="preserve">юнктуры не свидетельствует о низком уровне налогов в стране. Однако как налоговая система, так и система бюджетного планирования в этих условиях должны быть сконструированы таким образом, чтобы сберегать "избыточные" доходы в благоприятные периоды с целью </w:t>
      </w:r>
      <w:r>
        <w:t>финансирования бюджетного дефицита в неблагоприятные периоды.</w:t>
      </w:r>
    </w:p>
    <w:p w:rsidR="00000000" w:rsidRDefault="001034A9">
      <w:pPr>
        <w:pStyle w:val="ConsPlusNormal"/>
        <w:widowControl/>
        <w:ind w:firstLine="540"/>
        <w:jc w:val="both"/>
      </w:pPr>
      <w:r>
        <w:t>Во-вторых, сама по себе величина налоговых доходов бюджетной системы и соотношение этой величины с иными показателями (величина выручки, добавленной стоимости, валового продукта) не является хар</w:t>
      </w:r>
      <w:r>
        <w:t>актеристикой налоговой нагрузки, на основании сравнения которой с аналогичными показателями в других странах либо в других отраслях можно было бы делать выводы об уровне налоговых изъятий из частного сектора, обусловленном различными характеристиками налог</w:t>
      </w:r>
      <w:r>
        <w:t>овой системы.</w:t>
      </w:r>
    </w:p>
    <w:p w:rsidR="00000000" w:rsidRDefault="001034A9">
      <w:pPr>
        <w:pStyle w:val="ConsPlusNormal"/>
        <w:widowControl/>
        <w:ind w:firstLine="540"/>
        <w:jc w:val="both"/>
      </w:pPr>
      <w:r>
        <w:t>Оптимальным способом сопоставления налоговой нагрузки в различных экономиках, по нашему мнению, является подход, основанный на анализе того, насколько устройство налоговой системы оказывает влияние на инвестиционные решения либо в экономике в</w:t>
      </w:r>
      <w:r>
        <w:t xml:space="preserve"> целом, либо в какой-либо конкретной отрасли. Другими словами, при анализе и сопоставлении налоговой нагрузки в стране или отрасли необходимо принимать во внимание, прежде всего, то, в какой степени налоговая система оказывает влияние на цену капитала для </w:t>
      </w:r>
      <w:r>
        <w:t>инвестора.</w:t>
      </w:r>
    </w:p>
    <w:p w:rsidR="00000000" w:rsidRDefault="001034A9">
      <w:pPr>
        <w:pStyle w:val="ConsPlusNormal"/>
        <w:widowControl/>
        <w:ind w:firstLine="540"/>
        <w:jc w:val="both"/>
      </w:pPr>
      <w:r>
        <w:t>При этом анализ влияния уровня налогообложения предприятий на инвестиции и особенно международные сопоставления в этой сфере - одна из наиболее важных сфер изучения проблем налогообложения. Корпоративные налоговые режимы весьма сложны и значител</w:t>
      </w:r>
      <w:r>
        <w:t>ьно отличаются друг от друга в разных юрисдикциях и в рамках различных видов капитала. Поэтому для проведения такого анализа невозможно просто провести сравнительный анализ уровней налогообложения, необходимо учесть, например, ставки амортизационных расход</w:t>
      </w:r>
      <w:r>
        <w:t>ов для целей налогообложения, наличие специальных правил и режимов налогообложения, другие формы налогов на капитал - налоги на имущество, налоги с оборота, налоги на передачу капитала и пр., а также наличие налоговых каникул, налоговых льгот и т.п.</w:t>
      </w:r>
    </w:p>
    <w:p w:rsidR="00000000" w:rsidRDefault="001034A9">
      <w:pPr>
        <w:pStyle w:val="ConsPlusNormal"/>
        <w:widowControl/>
        <w:ind w:firstLine="540"/>
        <w:jc w:val="both"/>
      </w:pPr>
      <w:r>
        <w:t>В резу</w:t>
      </w:r>
      <w:r>
        <w:t>льтате, после учета всех вышеперечисленных факторов может оказаться, что налоговая нагрузка для инвестора с точки зрения принятия им инвестиционных решений при сравнительно высокой доле уплачиваемых налогоплательщиком налогов в выручке или добавленной стои</w:t>
      </w:r>
      <w:r>
        <w:t>мости может оказаться существенно ниже, чем у налогоплательщика со значительно более низкими налоговыми платежами. Определенная таким образом величина налоговой нагрузки зависит во многом от доходности инвестиционных проектов в отрасли и оборачиваемости ка</w:t>
      </w:r>
      <w:r>
        <w:t>питала, а не от абсолютной суммы уплачиваемых налогов в конкретный момент времени.</w:t>
      </w:r>
    </w:p>
    <w:p w:rsidR="00000000" w:rsidRDefault="001034A9">
      <w:pPr>
        <w:pStyle w:val="ConsPlusNormal"/>
        <w:widowControl/>
        <w:ind w:firstLine="540"/>
        <w:jc w:val="both"/>
      </w:pPr>
      <w:r>
        <w:t>С учетом приведенных обстоятельств рассмотрение уровня и динамики налоговых доходов бюджетной системы является важным, прежде всего с точки зрения общей конструкции налогово</w:t>
      </w:r>
      <w:r>
        <w:t xml:space="preserve">й </w:t>
      </w:r>
      <w:r>
        <w:lastRenderedPageBreak/>
        <w:t>системы, поскольку позволяет показать, что с ее помощью следует сглаживать колебания доходов, обусловленные волатильностью внешнеторговой конъюнктуры, что, в свою очередь, требует настройки налоговой системы и различных подходов к налогообложению в разли</w:t>
      </w:r>
      <w:r>
        <w:t>чных секторах экономики.</w:t>
      </w:r>
    </w:p>
    <w:p w:rsidR="00000000" w:rsidRDefault="001034A9">
      <w:pPr>
        <w:pStyle w:val="ConsPlusNormal"/>
        <w:widowControl/>
        <w:ind w:firstLine="540"/>
        <w:jc w:val="both"/>
      </w:pPr>
      <w:r>
        <w:t xml:space="preserve">В Таблице 1 приведены данные о величине и структуре доходов расширенного правительства в Российской Федерации (куда входят доходы всех бюджетов и внебюджетных фондов бюджетной системы) в 2005 - 2010 годах. Из представленных данных </w:t>
      </w:r>
      <w:r>
        <w:t xml:space="preserve">видно, что величина налоговых доходов (рассчитываемая как сумма поступлений всех налогов, сборов, таможенных пошлин, страховых взносов на обязательное государственное социальное страхование и прочих платежей, имеющих квазиналоговый характер) на протяжении </w:t>
      </w:r>
      <w:r>
        <w:t>последних шести лет существенно снизилась - с 36,5% ВВП в 2005 году до 31,7% ВВП по итогам 2010 года.</w:t>
      </w:r>
    </w:p>
    <w:p w:rsidR="00000000" w:rsidRDefault="001034A9">
      <w:pPr>
        <w:pStyle w:val="ConsPlusNormal"/>
        <w:widowControl/>
        <w:ind w:firstLine="540"/>
        <w:jc w:val="both"/>
      </w:pPr>
      <w:r>
        <w:t xml:space="preserve">При этом по-прежнему существенную долю доходов бюджета продолжают составлять доходы, получаемые от обложения налогами и пошлинами добычи и экспорта нефти </w:t>
      </w:r>
      <w:r>
        <w:t>и нефтепродуктов.</w:t>
      </w:r>
    </w:p>
    <w:p w:rsidR="00000000" w:rsidRDefault="001034A9">
      <w:pPr>
        <w:pStyle w:val="ConsPlusNormal"/>
        <w:widowControl/>
        <w:ind w:firstLine="540"/>
        <w:jc w:val="both"/>
      </w:pPr>
    </w:p>
    <w:p w:rsidR="00000000" w:rsidRDefault="001034A9">
      <w:pPr>
        <w:pStyle w:val="ConsPlusNormal"/>
        <w:widowControl/>
        <w:ind w:firstLine="0"/>
        <w:jc w:val="right"/>
        <w:outlineLvl w:val="2"/>
      </w:pPr>
      <w:r>
        <w:t>Таблица 1</w:t>
      </w:r>
    </w:p>
    <w:p w:rsidR="00000000" w:rsidRDefault="001034A9">
      <w:pPr>
        <w:pStyle w:val="ConsPlusNormal"/>
        <w:widowControl/>
        <w:ind w:firstLine="540"/>
        <w:jc w:val="both"/>
      </w:pPr>
    </w:p>
    <w:p w:rsidR="00000000" w:rsidRDefault="001034A9">
      <w:pPr>
        <w:pStyle w:val="ConsPlusNormal"/>
        <w:widowControl/>
        <w:ind w:firstLine="0"/>
        <w:jc w:val="center"/>
      </w:pPr>
      <w:r>
        <w:t>Доходы бюджета расширенного правительства</w:t>
      </w:r>
    </w:p>
    <w:p w:rsidR="00000000" w:rsidRDefault="001034A9">
      <w:pPr>
        <w:pStyle w:val="ConsPlusNormal"/>
        <w:widowControl/>
        <w:ind w:firstLine="0"/>
        <w:jc w:val="center"/>
      </w:pPr>
      <w:r>
        <w:t>Российской Федерации в 2005 - 2010 гг. (% ВВП)</w:t>
      </w:r>
    </w:p>
    <w:p w:rsidR="00000000" w:rsidRDefault="001034A9">
      <w:pPr>
        <w:pStyle w:val="ConsPlusNormal"/>
        <w:widowControl/>
        <w:ind w:firstLine="0"/>
        <w:jc w:val="cente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810"/>
        <w:gridCol w:w="810"/>
        <w:gridCol w:w="810"/>
        <w:gridCol w:w="810"/>
        <w:gridCol w:w="810"/>
        <w:gridCol w:w="945"/>
      </w:tblGrid>
      <w:tr w:rsidR="000000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2005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2006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2007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2008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2009 </w:t>
            </w:r>
          </w:p>
        </w:tc>
        <w:tc>
          <w:tcPr>
            <w:tcW w:w="94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2010 </w:t>
            </w:r>
          </w:p>
        </w:tc>
      </w:tr>
      <w:tr w:rsidR="000000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Доходы всего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38,8%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35,1%</w:t>
            </w:r>
          </w:p>
        </w:tc>
        <w:tc>
          <w:tcPr>
            <w:tcW w:w="94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35,3%</w:t>
            </w:r>
          </w:p>
        </w:tc>
      </w:tr>
      <w:tr w:rsidR="000000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Налоговые доходы и платежи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31,0%</w:t>
            </w:r>
          </w:p>
        </w:tc>
        <w:tc>
          <w:tcPr>
            <w:tcW w:w="94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31,7%</w:t>
            </w:r>
          </w:p>
        </w:tc>
      </w:tr>
      <w:tr w:rsidR="000000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r>
      <w:tr w:rsidR="000000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Налог на прибыль организаций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3,3%</w:t>
            </w:r>
          </w:p>
        </w:tc>
        <w:tc>
          <w:tcPr>
            <w:tcW w:w="94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4,0%</w:t>
            </w:r>
          </w:p>
        </w:tc>
      </w:tr>
      <w:tr w:rsidR="000000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Налог на доходы физических лиц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w:t>
            </w:r>
          </w:p>
        </w:tc>
        <w:tc>
          <w:tcPr>
            <w:tcW w:w="94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4,0%</w:t>
            </w:r>
          </w:p>
        </w:tc>
      </w:tr>
      <w:tr w:rsidR="000000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Налог на добавленную стоимость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5,3%</w:t>
            </w:r>
          </w:p>
        </w:tc>
        <w:tc>
          <w:tcPr>
            <w:tcW w:w="94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5,6%</w:t>
            </w:r>
          </w:p>
        </w:tc>
      </w:tr>
      <w:tr w:rsidR="000000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Акцизы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0,9%</w:t>
            </w:r>
          </w:p>
        </w:tc>
        <w:tc>
          <w:tcPr>
            <w:tcW w:w="94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1,1%</w:t>
            </w:r>
          </w:p>
        </w:tc>
      </w:tr>
      <w:tr w:rsidR="000000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Таможенные пошлины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7,5%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8,3%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7,0%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8,4%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6,5%</w:t>
            </w:r>
          </w:p>
        </w:tc>
        <w:tc>
          <w:tcPr>
            <w:tcW w:w="94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6,4%</w:t>
            </w:r>
          </w:p>
        </w:tc>
      </w:tr>
      <w:tr w:rsidR="000000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Налог на добычу полезных ископаемых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w:t>
            </w:r>
          </w:p>
        </w:tc>
        <w:tc>
          <w:tcPr>
            <w:tcW w:w="94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w:t>
            </w:r>
          </w:p>
        </w:tc>
      </w:tr>
      <w:tr w:rsidR="00000000">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Единый социальный налог и страховые </w:t>
            </w:r>
            <w:r>
              <w:br/>
              <w:t xml:space="preserve">взносы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t>5,5%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t>5,4%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t>5,6%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t>5,5%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t>5,9%</w:t>
            </w:r>
          </w:p>
        </w:tc>
        <w:tc>
          <w:tcPr>
            <w:tcW w:w="94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t>5,2%</w:t>
            </w:r>
          </w:p>
        </w:tc>
      </w:tr>
      <w:tr w:rsidR="000000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Прочие налоги и сборы &lt;*&gt;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2,2%</w:t>
            </w:r>
          </w:p>
        </w:tc>
        <w:tc>
          <w:tcPr>
            <w:tcW w:w="94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2,2%</w:t>
            </w:r>
          </w:p>
        </w:tc>
      </w:tr>
    </w:tbl>
    <w:p w:rsidR="00000000" w:rsidRDefault="001034A9">
      <w:pPr>
        <w:pStyle w:val="ConsPlusNormal"/>
        <w:widowControl/>
        <w:ind w:firstLine="0"/>
        <w:jc w:val="both"/>
      </w:pPr>
    </w:p>
    <w:p w:rsidR="00000000" w:rsidRDefault="001034A9">
      <w:pPr>
        <w:pStyle w:val="ConsPlusNonformat"/>
        <w:widowControl/>
        <w:ind w:firstLine="540"/>
        <w:jc w:val="both"/>
      </w:pPr>
      <w:r>
        <w:t>--------------------------------</w:t>
      </w:r>
    </w:p>
    <w:p w:rsidR="00000000" w:rsidRDefault="001034A9">
      <w:pPr>
        <w:pStyle w:val="ConsPlusNormal"/>
        <w:widowControl/>
        <w:ind w:firstLine="540"/>
        <w:jc w:val="both"/>
      </w:pPr>
      <w:r>
        <w:t>&lt;*&gt; Налоги на совокупный доход, налоги на имущество, платежи за пользование природными ресурсами (за исключением НДПИ), государственная пошлина, таможенные сборы.</w:t>
      </w:r>
    </w:p>
    <w:p w:rsidR="00000000" w:rsidRDefault="001034A9">
      <w:pPr>
        <w:pStyle w:val="ConsPlusNormal"/>
        <w:widowControl/>
        <w:ind w:firstLine="540"/>
        <w:jc w:val="both"/>
      </w:pPr>
    </w:p>
    <w:p w:rsidR="00000000" w:rsidRDefault="001034A9">
      <w:pPr>
        <w:pStyle w:val="ConsPlusNormal"/>
        <w:widowControl/>
        <w:ind w:firstLine="0"/>
        <w:jc w:val="right"/>
        <w:outlineLvl w:val="2"/>
      </w:pPr>
      <w:r>
        <w:t>Таблица 2</w:t>
      </w:r>
    </w:p>
    <w:p w:rsidR="00000000" w:rsidRDefault="001034A9">
      <w:pPr>
        <w:pStyle w:val="ConsPlusNormal"/>
        <w:widowControl/>
        <w:ind w:firstLine="540"/>
        <w:jc w:val="both"/>
      </w:pPr>
    </w:p>
    <w:p w:rsidR="00000000" w:rsidRDefault="001034A9">
      <w:pPr>
        <w:pStyle w:val="ConsPlusNormal"/>
        <w:widowControl/>
        <w:ind w:firstLine="0"/>
        <w:jc w:val="center"/>
      </w:pPr>
      <w:r>
        <w:t>Доходы бюджета расширенного правительства</w:t>
      </w:r>
    </w:p>
    <w:p w:rsidR="00000000" w:rsidRDefault="001034A9">
      <w:pPr>
        <w:pStyle w:val="ConsPlusNormal"/>
        <w:widowControl/>
        <w:ind w:firstLine="0"/>
        <w:jc w:val="center"/>
      </w:pPr>
      <w:r>
        <w:t>от налогообложения добычи нефти и экспо</w:t>
      </w:r>
      <w:r>
        <w:t>рта нефти</w:t>
      </w:r>
    </w:p>
    <w:p w:rsidR="00000000" w:rsidRDefault="001034A9">
      <w:pPr>
        <w:pStyle w:val="ConsPlusNormal"/>
        <w:widowControl/>
        <w:ind w:firstLine="0"/>
        <w:jc w:val="center"/>
      </w:pPr>
      <w:r>
        <w:t>и нефтепродуктов в 2005 - 2010 гг. (% ВВП)</w:t>
      </w:r>
    </w:p>
    <w:p w:rsidR="00000000" w:rsidRDefault="001034A9">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130"/>
        <w:gridCol w:w="810"/>
        <w:gridCol w:w="810"/>
        <w:gridCol w:w="810"/>
        <w:gridCol w:w="810"/>
        <w:gridCol w:w="810"/>
        <w:gridCol w:w="810"/>
      </w:tblGrid>
      <w:tr w:rsidR="00000000">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2005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2006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2007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2008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2009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2010</w:t>
            </w:r>
          </w:p>
        </w:tc>
      </w:tr>
      <w:tr w:rsidR="00000000">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Налоговые доходы и платежи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31,7%</w:t>
            </w:r>
          </w:p>
        </w:tc>
      </w:tr>
      <w:tr w:rsidR="00000000">
        <w:tblPrEx>
          <w:tblCellMar>
            <w:top w:w="0" w:type="dxa"/>
            <w:bottom w:w="0" w:type="dxa"/>
          </w:tblCellMar>
        </w:tblPrEx>
        <w:trPr>
          <w:cantSplit/>
          <w:trHeight w:val="480"/>
        </w:trPr>
        <w:tc>
          <w:tcPr>
            <w:tcW w:w="513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Доходы от налогов и пошлин,          </w:t>
            </w:r>
            <w:r>
              <w:br/>
              <w:t xml:space="preserve">связанных с обложением нефти и       </w:t>
            </w:r>
            <w:r>
              <w:br/>
            </w:r>
            <w:r>
              <w:t xml:space="preserve">нефтепродуктов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r>
            <w:r>
              <w:br/>
              <w:t>9,2%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r>
            <w:r>
              <w:br/>
              <w:t>10,0%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r>
            <w:r>
              <w:br/>
              <w:t>8,1%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r>
            <w:r>
              <w:br/>
              <w:t>9,7%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r>
            <w:r>
              <w:br/>
              <w:t>6,0%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r>
            <w:r>
              <w:br/>
              <w:t>8,3%</w:t>
            </w:r>
          </w:p>
        </w:tc>
      </w:tr>
      <w:tr w:rsidR="00000000">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r>
      <w:tr w:rsidR="00000000">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НДПИ на нефть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w:t>
            </w:r>
          </w:p>
        </w:tc>
      </w:tr>
      <w:tr w:rsidR="00000000">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Акцизы на нефтепродукты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0,4%</w:t>
            </w:r>
          </w:p>
        </w:tc>
      </w:tr>
      <w:tr w:rsidR="00000000">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Вывозные таможенные пошлины на нефть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3,8%</w:t>
            </w:r>
          </w:p>
        </w:tc>
      </w:tr>
      <w:tr w:rsidR="00000000">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Вывозные таможенные пошлины на       </w:t>
            </w:r>
            <w:r>
              <w:br/>
              <w:t xml:space="preserve">нефтепродукты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t>0,9%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t>1,2%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t>1,0%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t>1,3%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t>0,9%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t>1,4%</w:t>
            </w:r>
          </w:p>
        </w:tc>
      </w:tr>
      <w:tr w:rsidR="00000000">
        <w:tblPrEx>
          <w:tblCellMar>
            <w:top w:w="0" w:type="dxa"/>
            <w:bottom w:w="0" w:type="dxa"/>
          </w:tblCellMar>
        </w:tblPrEx>
        <w:trPr>
          <w:cantSplit/>
          <w:trHeight w:val="480"/>
        </w:trPr>
        <w:tc>
          <w:tcPr>
            <w:tcW w:w="513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lastRenderedPageBreak/>
              <w:t xml:space="preserve">Доходы от налогов и прочих платежей, </w:t>
            </w:r>
            <w:r>
              <w:br/>
            </w:r>
            <w:r>
              <w:t xml:space="preserve">не связанных с обложением нефти и    </w:t>
            </w:r>
            <w:r>
              <w:br/>
              <w:t xml:space="preserve">нефтепродуктов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r>
            <w:r>
              <w:br/>
              <w:t>27,2%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r>
            <w:r>
              <w:br/>
              <w:t>26,2%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r>
            <w:r>
              <w:br/>
              <w:t>28,1%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r>
            <w:r>
              <w:br/>
              <w:t>26,5%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r>
            <w:r>
              <w:br/>
              <w:t>25,0%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br/>
            </w:r>
            <w:r>
              <w:br/>
              <w:t>23,4%</w:t>
            </w:r>
          </w:p>
        </w:tc>
      </w:tr>
    </w:tbl>
    <w:p w:rsidR="00000000" w:rsidRDefault="001034A9">
      <w:pPr>
        <w:pStyle w:val="ConsPlusNormal"/>
        <w:widowControl/>
        <w:ind w:firstLine="0"/>
        <w:jc w:val="both"/>
      </w:pPr>
    </w:p>
    <w:p w:rsidR="00000000" w:rsidRDefault="001034A9">
      <w:pPr>
        <w:pStyle w:val="ConsPlusNormal"/>
        <w:widowControl/>
        <w:ind w:firstLine="0"/>
        <w:jc w:val="right"/>
        <w:outlineLvl w:val="2"/>
      </w:pPr>
      <w:r>
        <w:t>Таблица 3</w:t>
      </w:r>
    </w:p>
    <w:p w:rsidR="00000000" w:rsidRDefault="001034A9">
      <w:pPr>
        <w:pStyle w:val="ConsPlusNormal"/>
        <w:widowControl/>
        <w:ind w:firstLine="540"/>
        <w:jc w:val="both"/>
      </w:pPr>
    </w:p>
    <w:p w:rsidR="00000000" w:rsidRDefault="001034A9">
      <w:pPr>
        <w:pStyle w:val="ConsPlusNormal"/>
        <w:widowControl/>
        <w:ind w:firstLine="0"/>
        <w:jc w:val="center"/>
      </w:pPr>
      <w:r>
        <w:t>Налоговые доходы в странах Организации экономического</w:t>
      </w:r>
    </w:p>
    <w:p w:rsidR="00000000" w:rsidRDefault="001034A9">
      <w:pPr>
        <w:pStyle w:val="ConsPlusNormal"/>
        <w:widowControl/>
        <w:ind w:firstLine="0"/>
        <w:jc w:val="center"/>
      </w:pPr>
      <w:r>
        <w:t>сотрудничества и развития в 1965 - 2009 гг., % ВВП</w:t>
      </w:r>
    </w:p>
    <w:p w:rsidR="00000000" w:rsidRDefault="001034A9">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295"/>
        <w:gridCol w:w="810"/>
        <w:gridCol w:w="675"/>
        <w:gridCol w:w="810"/>
        <w:gridCol w:w="810"/>
        <w:gridCol w:w="810"/>
        <w:gridCol w:w="810"/>
        <w:gridCol w:w="675"/>
        <w:gridCol w:w="810"/>
        <w:gridCol w:w="810"/>
        <w:gridCol w:w="675"/>
      </w:tblGrid>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Страна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1965 </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1975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1985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1995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2000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2005 </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2006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2007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2008 </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2009</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Австрия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33,9</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40,8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41,4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42,1</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41,8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42,7</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42,8</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Австралия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20,5</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27,1</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Бельгия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31,1</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44,3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44,7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44,8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44,4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44,2</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43,2</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Великобритания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30,4</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36,3</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35,7</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34,3</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Венгрия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41,3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38,5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37,2</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40,2</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39,1</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Греция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17,8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19,4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31,3</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32,6</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29,4</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Дания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30,0</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38,4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46,1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48,8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49,4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50,7</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49,6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49,0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48,2</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48,2</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Израиль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33,8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31,4</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Ирландия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24,9</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30,6</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27,8</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Исландия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26,2</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40,7</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41,5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40,6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34,1</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Испания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14,7</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18,4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33,3</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30,7</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Италия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25,5</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33,6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40,1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40,9</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43,3</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43,5</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Канада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25,7</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33,4</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33,5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33,0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32,3</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31,1</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Корея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14,9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16,1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22,6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25,5</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26,5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26,5</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25,6</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Люксембург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27,7</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35,5</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37,5</w:t>
            </w:r>
          </w:p>
        </w:tc>
      </w:tr>
      <w:tr w:rsidR="00000000">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Мексика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15,5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15,2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16,9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19,9</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18,3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17,9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21,0</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17,5</w:t>
            </w:r>
            <w:r>
              <w:br/>
              <w:t>&lt;*&gt;</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Нидерланды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40,7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41,5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38,8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38,9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38,7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39,1</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Новая Зеландия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24,1</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33,2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37,5</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33,7</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31,0</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Норвегия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29,6</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40,9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43,5</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44,0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42,6</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41,0</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Польша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32,9</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34,3</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Португалия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15,9</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19,1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34,7</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35,2</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Словакия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29,3</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29,3</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Словения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37,2</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37,9</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США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24,7</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27,3</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26,1</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24,0</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Турция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10,6</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11,9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11,5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16,8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24,3</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24,2</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24,6</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Финляндия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30,4</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45,7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47,2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43,9</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43,1</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43,1</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Франция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34,1</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44,4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43,9</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44,0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43,2</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41,9</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ФРГ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31,6</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37,2</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37,0</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37,0</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Чехия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37,6</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37,5</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36,0</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34,8</w:t>
            </w:r>
          </w:p>
        </w:tc>
      </w:tr>
      <w:tr w:rsidR="00000000">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Чили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19,0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19,4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22,5</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18,2</w:t>
            </w:r>
            <w:r>
              <w:br/>
              <w:t>&lt;*&gt;</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Швейцария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17,5</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23,9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27,7</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29,2</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28,9</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29,1</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30,3</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Швеция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33,4</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41,3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47,4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47,5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51,4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49,5</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49,0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47,4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46,3</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46,4</w:t>
            </w:r>
          </w:p>
        </w:tc>
      </w:tr>
      <w:tr w:rsidR="0000000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Япония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18,2</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27,1</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26,8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27,4</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28,0</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28,3</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28,1</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r>
      <w:tr w:rsidR="00000000">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Всего по странам</w:t>
            </w:r>
            <w:r>
              <w:br/>
              <w:t xml:space="preserve">ОЭСР            </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25,5</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35,5</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35,8</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35,4</w:t>
            </w:r>
          </w:p>
        </w:tc>
        <w:tc>
          <w:tcPr>
            <w:tcW w:w="81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34,8</w:t>
            </w:r>
          </w:p>
        </w:tc>
        <w:tc>
          <w:tcPr>
            <w:tcW w:w="6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p>
        </w:tc>
      </w:tr>
    </w:tbl>
    <w:p w:rsidR="00000000" w:rsidRDefault="001034A9">
      <w:pPr>
        <w:pStyle w:val="ConsPlusNormal"/>
        <w:widowControl/>
        <w:ind w:firstLine="0"/>
        <w:jc w:val="both"/>
      </w:pPr>
    </w:p>
    <w:p w:rsidR="00000000" w:rsidRDefault="001034A9">
      <w:pPr>
        <w:pStyle w:val="ConsPlusNormal"/>
        <w:widowControl/>
        <w:ind w:firstLine="540"/>
        <w:jc w:val="both"/>
      </w:pPr>
      <w:r>
        <w:t>Источник: Revenue Statistics 1965 - 2009 (OECD, 2010)</w:t>
      </w:r>
    </w:p>
    <w:p w:rsidR="00000000" w:rsidRDefault="001034A9">
      <w:pPr>
        <w:pStyle w:val="ConsPlusNormal"/>
        <w:widowControl/>
        <w:ind w:firstLine="540"/>
        <w:jc w:val="both"/>
      </w:pPr>
    </w:p>
    <w:p w:rsidR="00000000" w:rsidRDefault="001034A9">
      <w:pPr>
        <w:pStyle w:val="ConsPlusNonformat"/>
        <w:widowControl/>
        <w:ind w:firstLine="540"/>
        <w:jc w:val="both"/>
      </w:pPr>
      <w:r>
        <w:t>--------------------------------</w:t>
      </w:r>
    </w:p>
    <w:p w:rsidR="00000000" w:rsidRDefault="001034A9">
      <w:pPr>
        <w:pStyle w:val="ConsPlusNormal"/>
        <w:widowControl/>
        <w:ind w:firstLine="540"/>
        <w:jc w:val="both"/>
      </w:pPr>
      <w:r>
        <w:t>&lt;*&gt; Оценка ОЭСР.</w:t>
      </w:r>
    </w:p>
    <w:p w:rsidR="00000000" w:rsidRDefault="001034A9">
      <w:pPr>
        <w:pStyle w:val="ConsPlusNormal"/>
        <w:widowControl/>
        <w:ind w:firstLine="540"/>
        <w:jc w:val="both"/>
      </w:pPr>
    </w:p>
    <w:p w:rsidR="00000000" w:rsidRDefault="001034A9">
      <w:pPr>
        <w:pStyle w:val="ConsPlusNormal"/>
        <w:widowControl/>
        <w:ind w:firstLine="0"/>
        <w:jc w:val="right"/>
        <w:outlineLvl w:val="2"/>
      </w:pPr>
      <w:r>
        <w:t>Таблица 4</w:t>
      </w:r>
    </w:p>
    <w:p w:rsidR="00000000" w:rsidRDefault="001034A9">
      <w:pPr>
        <w:pStyle w:val="ConsPlusNormal"/>
        <w:widowControl/>
        <w:ind w:firstLine="540"/>
        <w:jc w:val="both"/>
      </w:pPr>
    </w:p>
    <w:p w:rsidR="00000000" w:rsidRDefault="001034A9">
      <w:pPr>
        <w:pStyle w:val="ConsPlusNormal"/>
        <w:widowControl/>
        <w:ind w:firstLine="0"/>
        <w:jc w:val="center"/>
      </w:pPr>
      <w:r>
        <w:t>Доля налогов и обязательных платежей в совокупных</w:t>
      </w:r>
    </w:p>
    <w:p w:rsidR="00000000" w:rsidRDefault="001034A9">
      <w:pPr>
        <w:pStyle w:val="ConsPlusNormal"/>
        <w:widowControl/>
        <w:ind w:firstLine="0"/>
        <w:jc w:val="center"/>
      </w:pPr>
      <w:r>
        <w:t>затратах работодателя на оплату труда в странах ОЭСР</w:t>
      </w:r>
    </w:p>
    <w:p w:rsidR="00000000" w:rsidRDefault="001034A9">
      <w:pPr>
        <w:pStyle w:val="ConsPlusNormal"/>
        <w:widowControl/>
        <w:ind w:firstLine="0"/>
        <w:jc w:val="center"/>
      </w:pPr>
      <w:r>
        <w:t xml:space="preserve">в 2009 году (% от совокупных затрат </w:t>
      </w:r>
      <w:r>
        <w:t>работодателя</w:t>
      </w:r>
    </w:p>
    <w:p w:rsidR="00000000" w:rsidRDefault="001034A9">
      <w:pPr>
        <w:pStyle w:val="ConsPlusNormal"/>
        <w:widowControl/>
        <w:ind w:firstLine="0"/>
        <w:jc w:val="center"/>
      </w:pPr>
      <w:r>
        <w:t>в размере среднего уровня оплаты труда работника,</w:t>
      </w:r>
    </w:p>
    <w:p w:rsidR="00000000" w:rsidRDefault="001034A9">
      <w:pPr>
        <w:pStyle w:val="ConsPlusNormal"/>
        <w:widowControl/>
        <w:ind w:firstLine="0"/>
        <w:jc w:val="center"/>
      </w:pPr>
      <w:r>
        <w:t>не пользующегося специальными льготами)</w:t>
      </w:r>
    </w:p>
    <w:p w:rsidR="00000000" w:rsidRDefault="001034A9">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375"/>
        <w:gridCol w:w="1485"/>
        <w:gridCol w:w="1485"/>
        <w:gridCol w:w="1755"/>
        <w:gridCol w:w="1890"/>
      </w:tblGrid>
      <w:tr w:rsidR="00000000">
        <w:tblPrEx>
          <w:tblCellMar>
            <w:top w:w="0" w:type="dxa"/>
            <w:bottom w:w="0" w:type="dxa"/>
          </w:tblCellMar>
        </w:tblPrEx>
        <w:trPr>
          <w:cantSplit/>
          <w:trHeight w:val="360"/>
        </w:trPr>
        <w:tc>
          <w:tcPr>
            <w:tcW w:w="3375" w:type="dxa"/>
            <w:vMerge w:val="restart"/>
            <w:tcBorders>
              <w:top w:val="single" w:sz="6" w:space="0" w:color="auto"/>
              <w:left w:val="single" w:sz="6" w:space="0" w:color="auto"/>
              <w:bottom w:val="nil"/>
              <w:right w:val="single" w:sz="6" w:space="0" w:color="auto"/>
            </w:tcBorders>
          </w:tcPr>
          <w:p w:rsidR="00000000" w:rsidRDefault="001034A9">
            <w:pPr>
              <w:pStyle w:val="ConsPlusNormal"/>
              <w:widowControl/>
              <w:ind w:firstLine="0"/>
            </w:pPr>
            <w:r>
              <w:t xml:space="preserve">Страна        </w:t>
            </w:r>
          </w:p>
        </w:tc>
        <w:tc>
          <w:tcPr>
            <w:tcW w:w="1485" w:type="dxa"/>
            <w:vMerge w:val="restart"/>
            <w:tcBorders>
              <w:top w:val="single" w:sz="6" w:space="0" w:color="auto"/>
              <w:left w:val="single" w:sz="6" w:space="0" w:color="auto"/>
              <w:bottom w:val="nil"/>
              <w:right w:val="single" w:sz="6" w:space="0" w:color="auto"/>
            </w:tcBorders>
          </w:tcPr>
          <w:p w:rsidR="00000000" w:rsidRDefault="001034A9">
            <w:pPr>
              <w:pStyle w:val="ConsPlusNormal"/>
              <w:widowControl/>
              <w:ind w:firstLine="0"/>
            </w:pPr>
            <w:r>
              <w:t>Совокупная</w:t>
            </w:r>
            <w:r>
              <w:br/>
              <w:t xml:space="preserve">доля   </w:t>
            </w:r>
            <w:r>
              <w:br/>
              <w:t xml:space="preserve">налогов в </w:t>
            </w:r>
            <w:r>
              <w:br/>
              <w:t xml:space="preserve">затратах </w:t>
            </w:r>
            <w:r>
              <w:br/>
              <w:t xml:space="preserve">на оплату </w:t>
            </w:r>
            <w:r>
              <w:br/>
              <w:t xml:space="preserve">труда   </w:t>
            </w:r>
          </w:p>
        </w:tc>
        <w:tc>
          <w:tcPr>
            <w:tcW w:w="1485" w:type="dxa"/>
            <w:vMerge w:val="restart"/>
            <w:tcBorders>
              <w:top w:val="single" w:sz="6" w:space="0" w:color="auto"/>
              <w:left w:val="single" w:sz="6" w:space="0" w:color="auto"/>
              <w:bottom w:val="nil"/>
              <w:right w:val="single" w:sz="6" w:space="0" w:color="auto"/>
            </w:tcBorders>
          </w:tcPr>
          <w:p w:rsidR="00000000" w:rsidRDefault="001034A9">
            <w:pPr>
              <w:pStyle w:val="ConsPlusNormal"/>
              <w:widowControl/>
              <w:ind w:firstLine="0"/>
            </w:pPr>
            <w:r>
              <w:t xml:space="preserve">Налог на </w:t>
            </w:r>
            <w:r>
              <w:br/>
              <w:t xml:space="preserve">доходы  </w:t>
            </w:r>
            <w:r>
              <w:br/>
              <w:t>физических</w:t>
            </w:r>
            <w:r>
              <w:br/>
              <w:t xml:space="preserve">лиц   </w:t>
            </w:r>
          </w:p>
        </w:tc>
        <w:tc>
          <w:tcPr>
            <w:tcW w:w="3645" w:type="dxa"/>
            <w:gridSpan w:val="2"/>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Взносы на социальное   </w:t>
            </w:r>
            <w:r>
              <w:br/>
            </w:r>
            <w:r>
              <w:t xml:space="preserve">страхование       </w:t>
            </w:r>
          </w:p>
        </w:tc>
      </w:tr>
      <w:tr w:rsidR="00000000">
        <w:tblPrEx>
          <w:tblCellMar>
            <w:top w:w="0" w:type="dxa"/>
            <w:bottom w:w="0" w:type="dxa"/>
          </w:tblCellMar>
        </w:tblPrEx>
        <w:trPr>
          <w:cantSplit/>
          <w:trHeight w:val="480"/>
        </w:trPr>
        <w:tc>
          <w:tcPr>
            <w:tcW w:w="3375" w:type="dxa"/>
            <w:vMerge/>
            <w:tcBorders>
              <w:top w:val="nil"/>
              <w:left w:val="single" w:sz="6" w:space="0" w:color="auto"/>
              <w:bottom w:val="single" w:sz="6" w:space="0" w:color="auto"/>
              <w:right w:val="single" w:sz="6" w:space="0" w:color="auto"/>
            </w:tcBorders>
          </w:tcPr>
          <w:p w:rsidR="00000000" w:rsidRDefault="001034A9">
            <w:pPr>
              <w:pStyle w:val="ConsPlusNormal"/>
              <w:widowControl/>
              <w:ind w:firstLine="0"/>
            </w:pPr>
          </w:p>
        </w:tc>
        <w:tc>
          <w:tcPr>
            <w:tcW w:w="1485" w:type="dxa"/>
            <w:vMerge/>
            <w:tcBorders>
              <w:top w:val="nil"/>
              <w:left w:val="single" w:sz="6" w:space="0" w:color="auto"/>
              <w:bottom w:val="single" w:sz="6" w:space="0" w:color="auto"/>
              <w:right w:val="single" w:sz="6" w:space="0" w:color="auto"/>
            </w:tcBorders>
          </w:tcPr>
          <w:p w:rsidR="00000000" w:rsidRDefault="001034A9">
            <w:pPr>
              <w:pStyle w:val="ConsPlusNormal"/>
              <w:widowControl/>
              <w:ind w:firstLine="0"/>
            </w:pPr>
          </w:p>
        </w:tc>
        <w:tc>
          <w:tcPr>
            <w:tcW w:w="1485" w:type="dxa"/>
            <w:vMerge/>
            <w:tcBorders>
              <w:top w:val="nil"/>
              <w:left w:val="single" w:sz="6" w:space="0" w:color="auto"/>
              <w:bottom w:val="single" w:sz="6" w:space="0" w:color="auto"/>
              <w:right w:val="single" w:sz="6" w:space="0" w:color="auto"/>
            </w:tcBorders>
          </w:tcPr>
          <w:p w:rsidR="00000000" w:rsidRDefault="001034A9">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уплачиваемые</w:t>
            </w:r>
            <w:r>
              <w:br/>
              <w:t xml:space="preserve">работником </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уплачиваемые</w:t>
            </w:r>
            <w:r>
              <w:br/>
              <w:t>работодателем</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Австралия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26,7</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20,7</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0,0</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6,0</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Австрия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47,9</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11,4</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14,0</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22,6</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Бельгия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55,2</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21,1</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10,7</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23,3</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Великобритания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32,5</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14,6</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8,3</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9,6</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Венгрия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53,4</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15,9</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12,8</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24,6</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Греция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41,5</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7,1</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12,5</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21,9</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Дания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39,4</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29,1</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10,3</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0,0</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Ирландия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28,6</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12,9</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6,0</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9,7</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Исландия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28,3</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22,3</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0,2</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5,8</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Испания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38,2</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10,3</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4,9</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23,0</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Италия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46,5</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15,0</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7,2</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24,3</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Канада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30,8</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13,9</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6,5</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10,3</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Корея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19,7</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3,8</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6,9</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8,9</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Люксембург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34,0</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12,7</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10,9</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10,3</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Мексика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15,3</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1,2</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10,5</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Нидерланды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38,0</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15,1</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13,8</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9,1</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Новая Зеландия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18,4</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18,4</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0,0</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0,0</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Норвегия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37,4</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19,1</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6,9</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11,3</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Польша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34,0</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5,6</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15,5</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12,9</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Португалия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37,2</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9,1</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8,9</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19,2</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Словакия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37,6</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6,3</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10,6</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20,8</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США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29,4</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13,4</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7,0</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9,0</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Турция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37,5</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10,5</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12,9</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14,2</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Финляндия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42,4</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18,6</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5,1</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18,7</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Франция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49,2</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9,9</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9,6</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29,7</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ФРГ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50,9</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17,3</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17,3</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16,3</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Чехия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41,9</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8,3</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8,2</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25,4</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Швейцария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29,3</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9,4</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10,0</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10,0</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Швеция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43,2</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13,9</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5,3</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23,9</w:t>
            </w:r>
          </w:p>
        </w:tc>
      </w:tr>
      <w:tr w:rsidR="0000000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Япония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29,2</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7,0</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10,8</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11,4</w:t>
            </w:r>
          </w:p>
        </w:tc>
      </w:tr>
      <w:tr w:rsidR="00000000">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 xml:space="preserve">Российская Федерация в  </w:t>
            </w:r>
            <w:r>
              <w:br/>
              <w:t xml:space="preserve">2011 году               </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35,1</w:t>
            </w:r>
          </w:p>
        </w:tc>
        <w:tc>
          <w:tcPr>
            <w:tcW w:w="148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9,7</w:t>
            </w:r>
          </w:p>
        </w:tc>
        <w:tc>
          <w:tcPr>
            <w:tcW w:w="1755"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0,0</w:t>
            </w:r>
          </w:p>
        </w:tc>
        <w:tc>
          <w:tcPr>
            <w:tcW w:w="1890" w:type="dxa"/>
            <w:tcBorders>
              <w:top w:val="single" w:sz="6" w:space="0" w:color="auto"/>
              <w:left w:val="single" w:sz="6" w:space="0" w:color="auto"/>
              <w:bottom w:val="single" w:sz="6" w:space="0" w:color="auto"/>
              <w:right w:val="single" w:sz="6" w:space="0" w:color="auto"/>
            </w:tcBorders>
          </w:tcPr>
          <w:p w:rsidR="00000000" w:rsidRDefault="001034A9">
            <w:pPr>
              <w:pStyle w:val="ConsPlusNormal"/>
              <w:widowControl/>
              <w:ind w:firstLine="0"/>
            </w:pPr>
            <w:r>
              <w:t>25,4</w:t>
            </w:r>
          </w:p>
        </w:tc>
      </w:tr>
    </w:tbl>
    <w:p w:rsidR="00000000" w:rsidRDefault="001034A9">
      <w:pPr>
        <w:pStyle w:val="ConsPlusNormal"/>
        <w:widowControl/>
        <w:ind w:firstLine="0"/>
        <w:jc w:val="both"/>
      </w:pPr>
    </w:p>
    <w:p w:rsidR="00000000" w:rsidRDefault="001034A9">
      <w:pPr>
        <w:pStyle w:val="ConsPlusNormal"/>
        <w:widowControl/>
        <w:ind w:firstLine="540"/>
        <w:jc w:val="both"/>
      </w:pPr>
      <w:r>
        <w:t>Источник: Taxing Wages 2008 - 2009, OECD 2010, расчеты Минфина России</w:t>
      </w:r>
    </w:p>
    <w:p w:rsidR="00000000" w:rsidRDefault="001034A9">
      <w:pPr>
        <w:pStyle w:val="ConsPlusNormal"/>
        <w:widowControl/>
        <w:ind w:firstLine="540"/>
        <w:jc w:val="both"/>
      </w:pPr>
    </w:p>
    <w:p w:rsidR="00000000" w:rsidRDefault="001034A9">
      <w:pPr>
        <w:pStyle w:val="ConsPlusNormal"/>
        <w:widowControl/>
        <w:ind w:firstLine="540"/>
        <w:jc w:val="both"/>
        <w:outlineLvl w:val="0"/>
      </w:pPr>
      <w:r>
        <w:t>II. Меры в области налоговой политики, планируемые к реализации в 2012 году и в плановом периоде 2013 и 2014 годов</w:t>
      </w:r>
    </w:p>
    <w:p w:rsidR="00000000" w:rsidRDefault="001034A9">
      <w:pPr>
        <w:pStyle w:val="ConsPlusNormal"/>
        <w:widowControl/>
        <w:ind w:firstLine="540"/>
        <w:jc w:val="both"/>
      </w:pPr>
    </w:p>
    <w:p w:rsidR="00000000" w:rsidRDefault="001034A9">
      <w:pPr>
        <w:pStyle w:val="ConsPlusNormal"/>
        <w:widowControl/>
        <w:ind w:firstLine="540"/>
        <w:jc w:val="both"/>
      </w:pPr>
      <w:r>
        <w:t xml:space="preserve">В период 2012 - 2014 годов будет продолжена реализация целей и задач, предусмотренных "Основными направлениями налоговой политики на 2010 год и плановый период 2011 и 2012 </w:t>
      </w:r>
      <w:r>
        <w:lastRenderedPageBreak/>
        <w:t>годов" и "Основными направлениями налоговой политики на 2011 год и плановый период 2</w:t>
      </w:r>
      <w:r>
        <w:t>012 и 2013 годов".</w:t>
      </w:r>
    </w:p>
    <w:p w:rsidR="00000000" w:rsidRDefault="001034A9">
      <w:pPr>
        <w:pStyle w:val="ConsPlusNormal"/>
        <w:widowControl/>
        <w:ind w:firstLine="540"/>
        <w:jc w:val="both"/>
      </w:pPr>
      <w:r>
        <w:t>Взимание налогов и сборов может оказывать различные эффекты на поведение экономических агентов, создавать различные стимулы как для организаций, так и для физических лиц. Однако основной задачей налогообложения является обеспечение доход</w:t>
      </w:r>
      <w:r>
        <w:t>ов бюджетной системы. При этом с учетом необходимости обеспечения сбалансированности федерального бюджета в среднесрочной перспективе следует предпринимать усилия, направленные на увеличение доходного потенциала налоговой системы.</w:t>
      </w:r>
    </w:p>
    <w:p w:rsidR="00000000" w:rsidRDefault="001034A9">
      <w:pPr>
        <w:pStyle w:val="ConsPlusNormal"/>
        <w:widowControl/>
        <w:ind w:firstLine="540"/>
        <w:jc w:val="both"/>
      </w:pPr>
      <w:r>
        <w:t>В рамках проводимой налог</w:t>
      </w:r>
      <w:r>
        <w:t xml:space="preserve">овой политики основными источниками повышения доходного потенциала взимаемых налогов может стать как повышение налоговых ставок, изменение правил исчисления и уплаты отдельных налогов, так и принятие мер в области налогового администрирования. При этом, в </w:t>
      </w:r>
      <w:r>
        <w:t>первую очередь, необходимо принять меры для повышения доходов бюджетной системы от налогообложения потребления, ренты, возникающей при добыче природных ресурсов, а также от перехода к новой системе налогообложения недвижимого имущества. Отдельным направлен</w:t>
      </w:r>
      <w:r>
        <w:t>ием политики в области повышения доходного потенциала налоговой системы будет являться оптимизация существующей системы налоговых льгот и освобождений, а также ликвидация имеющихся возможностей для уклонения от налогообложения.</w:t>
      </w:r>
    </w:p>
    <w:p w:rsidR="00000000" w:rsidRDefault="001034A9">
      <w:pPr>
        <w:pStyle w:val="ConsPlusNormal"/>
        <w:widowControl/>
        <w:ind w:firstLine="540"/>
        <w:jc w:val="both"/>
      </w:pPr>
      <w:r>
        <w:t>При этом необходимым условие</w:t>
      </w:r>
      <w:r>
        <w:t>м развития российской экономики является, прежде всего, технологическое обновление, модернизация производства. Также ключевым условием для модернизации является развитие некоммерческого сектора, предоставляющего в том числе услуги социального характера. Ст</w:t>
      </w:r>
      <w:r>
        <w:t>имулирующая роль налоговой системы по перечисленным направлениям сохранится.</w:t>
      </w:r>
    </w:p>
    <w:p w:rsidR="00000000" w:rsidRDefault="001034A9">
      <w:pPr>
        <w:pStyle w:val="ConsPlusNormal"/>
        <w:widowControl/>
        <w:ind w:firstLine="540"/>
        <w:jc w:val="both"/>
      </w:pPr>
      <w:r>
        <w:t>Внесение изменений в законодательство о налогах и сборах планируется по следующим направлениям.</w:t>
      </w:r>
    </w:p>
    <w:p w:rsidR="00000000" w:rsidRDefault="001034A9">
      <w:pPr>
        <w:pStyle w:val="ConsPlusNormal"/>
        <w:widowControl/>
        <w:ind w:firstLine="540"/>
        <w:jc w:val="both"/>
      </w:pPr>
      <w:r>
        <w:t>1. Налоговое стимулирование инновационной деятельности и развития человеческого кап</w:t>
      </w:r>
      <w:r>
        <w:t>итала.</w:t>
      </w:r>
    </w:p>
    <w:p w:rsidR="00000000" w:rsidRDefault="001034A9">
      <w:pPr>
        <w:pStyle w:val="ConsPlusNormal"/>
        <w:widowControl/>
        <w:ind w:firstLine="540"/>
        <w:jc w:val="both"/>
      </w:pPr>
      <w:r>
        <w:t>2. Мониторинг эффективности налоговых льгот.</w:t>
      </w:r>
    </w:p>
    <w:p w:rsidR="00000000" w:rsidRDefault="001034A9">
      <w:pPr>
        <w:pStyle w:val="ConsPlusNormal"/>
        <w:widowControl/>
        <w:ind w:firstLine="540"/>
        <w:jc w:val="both"/>
      </w:pPr>
      <w:r>
        <w:t>3. Акцизное налогообложение.</w:t>
      </w:r>
    </w:p>
    <w:p w:rsidR="00000000" w:rsidRDefault="001034A9">
      <w:pPr>
        <w:pStyle w:val="ConsPlusNormal"/>
        <w:widowControl/>
        <w:ind w:firstLine="540"/>
        <w:jc w:val="both"/>
      </w:pPr>
      <w:r>
        <w:t>4. Совершенствование налогообложения при операциях с ценными бумагами и финансовыми инструментами срочных сделок, финансовыми операциями.</w:t>
      </w:r>
    </w:p>
    <w:p w:rsidR="00000000" w:rsidRDefault="001034A9">
      <w:pPr>
        <w:pStyle w:val="ConsPlusNormal"/>
        <w:widowControl/>
        <w:ind w:firstLine="540"/>
        <w:jc w:val="both"/>
      </w:pPr>
      <w:r>
        <w:t>5. Налог прибыль организаций.</w:t>
      </w:r>
    </w:p>
    <w:p w:rsidR="00000000" w:rsidRDefault="001034A9">
      <w:pPr>
        <w:pStyle w:val="ConsPlusNormal"/>
        <w:widowControl/>
        <w:ind w:firstLine="540"/>
        <w:jc w:val="both"/>
      </w:pPr>
      <w:r>
        <w:t>6. Нало</w:t>
      </w:r>
      <w:r>
        <w:t>гообложение природных ресурсов.</w:t>
      </w:r>
    </w:p>
    <w:p w:rsidR="00000000" w:rsidRDefault="001034A9">
      <w:pPr>
        <w:pStyle w:val="ConsPlusNormal"/>
        <w:widowControl/>
        <w:ind w:firstLine="540"/>
        <w:jc w:val="both"/>
      </w:pPr>
      <w:r>
        <w:t>7. Совершенствование налогообложения в рамках специальных налоговых режимов.</w:t>
      </w:r>
    </w:p>
    <w:p w:rsidR="00000000" w:rsidRDefault="001034A9">
      <w:pPr>
        <w:pStyle w:val="ConsPlusNormal"/>
        <w:widowControl/>
        <w:ind w:firstLine="540"/>
        <w:jc w:val="both"/>
      </w:pPr>
      <w:r>
        <w:t>8. Введение налога на недвижимость.</w:t>
      </w:r>
    </w:p>
    <w:p w:rsidR="00000000" w:rsidRDefault="001034A9">
      <w:pPr>
        <w:pStyle w:val="ConsPlusNormal"/>
        <w:widowControl/>
        <w:ind w:firstLine="540"/>
        <w:jc w:val="both"/>
      </w:pPr>
      <w:r>
        <w:t>9. Налоговое администрирование.</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1. Налоговое стимулирование инновационной деятельности и развития человеческог</w:t>
      </w:r>
      <w:r>
        <w:t>о капитала</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1.1. Снижение тарифов страховых взносов на обязательное пенсионное, медицинское и социальное страхование</w:t>
      </w:r>
    </w:p>
    <w:p w:rsidR="00000000" w:rsidRDefault="001034A9">
      <w:pPr>
        <w:pStyle w:val="ConsPlusNormal"/>
        <w:widowControl/>
        <w:ind w:firstLine="540"/>
        <w:jc w:val="both"/>
      </w:pPr>
      <w:r>
        <w:t>Определение политики в области страховых взносов не относится напрямую к налоговой политике, однако с точки зрения фискальной нагрузки на ф</w:t>
      </w:r>
      <w:r>
        <w:t>онд оплаты труда страховые взносы формируют наряду с налогом на доходы физических лиц обязательные отчисления в бюджетную систему, уплачиваемые работодателями при выплате заработной платы работникам.</w:t>
      </w:r>
    </w:p>
    <w:p w:rsidR="00000000" w:rsidRDefault="001034A9">
      <w:pPr>
        <w:pStyle w:val="ConsPlusNormal"/>
        <w:widowControl/>
        <w:ind w:firstLine="540"/>
        <w:jc w:val="both"/>
      </w:pPr>
      <w:r>
        <w:t>В качестве временной меры на период 2012 - 2013 годов бу</w:t>
      </w:r>
      <w:r>
        <w:t>дет снижен максимальный тариф страховых взносов в государственные внебюджетные фонды с 34 до 30 процентов, взимаемый с выплат в пользу физических лиц в размере до установленной предельной величины в 512 тыс. рублей в 2012 году и до 567 тыс. рублей в 2013 г</w:t>
      </w:r>
      <w:r>
        <w:t>оду, а также для данной категории плательщиков будет установлен тариф страховых взносов с сумм превышения предельной величины базы для начисления страховых взносов в Пенсионный фонд Российской Федерации в размере 10 процентов.</w:t>
      </w:r>
    </w:p>
    <w:p w:rsidR="00000000" w:rsidRDefault="001034A9">
      <w:pPr>
        <w:pStyle w:val="ConsPlusNormal"/>
        <w:widowControl/>
        <w:ind w:firstLine="540"/>
        <w:jc w:val="both"/>
      </w:pPr>
      <w:r>
        <w:t>При этом для плательщиков стр</w:t>
      </w:r>
      <w:r>
        <w:t>аховых взносов, которые в 2011 году уплачивают указанные взносы по максимальному тарифу 26 процентов, а также для социально ориентированных некоммерческих организаций будет снижен до 20 процентов максимальный тариф страховых взносов в государственные внебю</w:t>
      </w:r>
      <w:r>
        <w:t xml:space="preserve">джетные фонды, начисляемый на выплаты до установленной предельной величины облагаемой базы, а также для данной категории плательщиков будет установлен тариф страховых взносов с сумм превышения предельной величины базы для </w:t>
      </w:r>
      <w:r>
        <w:lastRenderedPageBreak/>
        <w:t>начисления страховых взносов в Пен</w:t>
      </w:r>
      <w:r>
        <w:t>сионный фонд Российской Федерации в размере 7 процентов.</w:t>
      </w:r>
    </w:p>
    <w:p w:rsidR="00000000" w:rsidRDefault="001034A9">
      <w:pPr>
        <w:pStyle w:val="ConsPlusNormal"/>
        <w:widowControl/>
        <w:ind w:firstLine="540"/>
        <w:jc w:val="both"/>
      </w:pPr>
      <w:r>
        <w:t>В результате принятия указанных решений эффективная ставка обложения заработной платы страховыми взносами, рассчитываемая как отношение суммы исчисленных страховых взносов по работнику к сумме начисл</w:t>
      </w:r>
      <w:r>
        <w:t>енной заработной платы, в 2012 - 2013 годах существенно снизится по сравнению с условиями, предусмотренными действующим законодательством.</w:t>
      </w:r>
    </w:p>
    <w:p w:rsidR="00000000" w:rsidRDefault="001034A9">
      <w:pPr>
        <w:pStyle w:val="ConsPlusNormal"/>
        <w:widowControl/>
        <w:ind w:firstLine="540"/>
        <w:jc w:val="both"/>
      </w:pPr>
      <w:r>
        <w:t xml:space="preserve">Для выплат в пользу работников, годовая заработная плата которых без учета уплачиваемых взносов составит в 2012 году </w:t>
      </w:r>
      <w:r>
        <w:t>менее 512 тыс. рублей (менее 567 тыс. рублей в год в 2013 году), снижение эффективной ставки будет максимальным - на 4 процентных пункта по сравнению с действующими условиями. При этом эффективная ставка обложения взносами заработной платы при условии прин</w:t>
      </w:r>
      <w:r>
        <w:t>ятия предложенных решений снизится для выплат в пользу всех работников, получающих в год до 716 тыс. рублей в 2012 году и до 793 тыс. рублей - в 2013 году.</w:t>
      </w:r>
    </w:p>
    <w:p w:rsidR="00000000" w:rsidRDefault="001034A9">
      <w:pPr>
        <w:pStyle w:val="ConsPlusNormal"/>
        <w:widowControl/>
        <w:ind w:firstLine="540"/>
        <w:jc w:val="both"/>
      </w:pPr>
      <w:r>
        <w:t xml:space="preserve">Для плательщиков, применяющих льготную ставку обложения страховыми взносами, при принятии предлагаемого механизма снижения тарифов страховых взносов в диапазоне получаемой годовой заработной платы в 2012 году до 512 тыс. рублей (до 567 тыс. рублей в год в </w:t>
      </w:r>
      <w:r>
        <w:t>2013 году) снижение эффективной ставки обложения страховыми взносами составит максимальную величину - 6 процентных пунктов. При этом снижение эффективной ставки обложения страховыми взносами заработной платы для льготных категорий плательщиков в меньших ма</w:t>
      </w:r>
      <w:r>
        <w:t>сштабах будет наблюдаться в диапазоне получаемой заработной платы до 950 тыс. рублей в год в 2012 году и до 1053 тыс. рублей в год - в 2013 году.</w:t>
      </w:r>
    </w:p>
    <w:p w:rsidR="00000000" w:rsidRDefault="001034A9">
      <w:pPr>
        <w:pStyle w:val="ConsPlusNormal"/>
        <w:widowControl/>
        <w:ind w:firstLine="540"/>
        <w:jc w:val="both"/>
      </w:pPr>
      <w:r>
        <w:t>Таким образом, предлагаемый механизм снижения тарифов страховых взносов приведет к существенному снижению эффе</w:t>
      </w:r>
      <w:r>
        <w:t>ктивной ставки обложения взносами, причем в наибольшей степени выгоды от такого снижения получат низкооплачиваемые категории работников. При этом снижение эффективной ставки обложения взносами коснется и других категорий работников, чья заработная плата су</w:t>
      </w:r>
      <w:r>
        <w:t>щественно превышает средние по стране показатели.</w:t>
      </w:r>
    </w:p>
    <w:p w:rsidR="00000000" w:rsidRDefault="001034A9">
      <w:pPr>
        <w:pStyle w:val="ConsPlusNormal"/>
        <w:widowControl/>
        <w:ind w:firstLine="540"/>
        <w:jc w:val="both"/>
      </w:pPr>
      <w:r>
        <w:t xml:space="preserve">Следует отметить, что принимаемые решения в области снижения страховых взносов приведут к дальнейшему росту дефицита бюджета Пенсионного фонда Российской Федерации, что в условиях финансирования указанного </w:t>
      </w:r>
      <w:r>
        <w:t>дефицита за счет средств федерального бюджета будет иметь негативные макроэкономические последствия.</w:t>
      </w:r>
    </w:p>
    <w:p w:rsidR="00000000" w:rsidRDefault="001034A9">
      <w:pPr>
        <w:pStyle w:val="ConsPlusNormal"/>
        <w:widowControl/>
        <w:ind w:firstLine="540"/>
        <w:jc w:val="both"/>
      </w:pPr>
      <w:r>
        <w:t>Вопрос о возможности дальнейшего применения пониженных тарифов страховых взносов с учетом сохранения государственных обязательств по выплатам пенсий и посо</w:t>
      </w:r>
      <w:r>
        <w:t>бий может быть рассмотрен при подготовке в течение 2012 - 2013 годов проекта Программы долгосрочного развития пенсионной системы Российской Федерации и соответствующих законодательных актов, предусматривающих принятие комплекса мер, направленных на обеспеч</w:t>
      </w:r>
      <w:r>
        <w:t>ение сбалансированности пенсионной системы и ее финансовой устойчивости в долгосрочной перспективе.</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1.2. Совершенствование амортизационной политики</w:t>
      </w:r>
    </w:p>
    <w:p w:rsidR="00000000" w:rsidRDefault="001034A9">
      <w:pPr>
        <w:pStyle w:val="ConsPlusNormal"/>
        <w:widowControl/>
        <w:ind w:firstLine="540"/>
        <w:jc w:val="both"/>
      </w:pPr>
      <w:r>
        <w:t>В целях более гибкого регулирования отнесения на расходы затрат на приобретение, реконструкцию и модернизац</w:t>
      </w:r>
      <w:r>
        <w:t>ию основных средств в среднесрочной перспективе необходимо продолжить разработку новых подходов к классификации основных средств на группы и определение норм амортизации для этих групп, учитывающих скорость развития технологий, влияющих на обновление основ</w:t>
      </w:r>
      <w:r>
        <w:t>ных средств.</w:t>
      </w:r>
    </w:p>
    <w:p w:rsidR="00000000" w:rsidRDefault="001034A9">
      <w:pPr>
        <w:pStyle w:val="ConsPlusNormal"/>
        <w:widowControl/>
        <w:ind w:firstLine="540"/>
        <w:jc w:val="both"/>
      </w:pPr>
      <w:r>
        <w:t>Классификация основных средств, включаемых в амортизационные группы, разработана на основе Общероссийского классификатора основных фондов (далее - ОКОФ), утвержденного Постановлением Госстандарта Российской Федерации от 26 декабря 1994 г. N 35</w:t>
      </w:r>
      <w:r>
        <w:t>9, который в свою очередь основан на Общероссийском классификаторе продукции по видам экономической деятельности ОК 034-2007 (КПЕС 2002) (далее - ОКПД).</w:t>
      </w:r>
    </w:p>
    <w:p w:rsidR="00000000" w:rsidRDefault="001034A9">
      <w:pPr>
        <w:pStyle w:val="ConsPlusNormal"/>
        <w:widowControl/>
        <w:ind w:firstLine="540"/>
        <w:jc w:val="both"/>
      </w:pPr>
      <w:r>
        <w:t>В рамках федеральной целевой программы "Развитие государственной статистики России в 2007 - 2011 годах"</w:t>
      </w:r>
      <w:r>
        <w:t>, утвержденной Постановлением Правительства Российской Федерации от 2 октября 2006 г. N 595, в целях организации статистического наблюдения за состоянием и движением основных фондов, отражающим современную ситуацию на рынке основных фондов, Росстат осущест</w:t>
      </w:r>
      <w:r>
        <w:t>вляет разработку новой версии ОКОФ. В рамках указанной программы на основе Статистической классификации видов экономической деятельности Европейского союза предполагается разработка новой версии ОКПД.</w:t>
      </w:r>
    </w:p>
    <w:p w:rsidR="00000000" w:rsidRDefault="001034A9">
      <w:pPr>
        <w:pStyle w:val="ConsPlusNormal"/>
        <w:widowControl/>
        <w:ind w:firstLine="540"/>
        <w:jc w:val="both"/>
      </w:pPr>
      <w:r>
        <w:t>Структурная переработка ОКОФ потребует внесения соответ</w:t>
      </w:r>
      <w:r>
        <w:t>ствующих изменений в классификацию основных средств, что может способствовать реализации принципа построения амортизационных групп не только в соответствии со сроками физической эксплуатации основных средств, но и с учетом иных факторов, вызывающих необход</w:t>
      </w:r>
      <w:r>
        <w:t>имость их ускоренного обновления.</w:t>
      </w:r>
    </w:p>
    <w:p w:rsidR="00000000" w:rsidRDefault="001034A9">
      <w:pPr>
        <w:pStyle w:val="ConsPlusNormal"/>
        <w:widowControl/>
        <w:ind w:firstLine="540"/>
        <w:jc w:val="both"/>
      </w:pPr>
      <w:r>
        <w:lastRenderedPageBreak/>
        <w:t>В этой связи предполагается уточнить классификацию основных средств с учетом разработки и введения новых версий ОКОФ и ОКПД.</w:t>
      </w:r>
    </w:p>
    <w:p w:rsidR="00000000" w:rsidRDefault="001034A9">
      <w:pPr>
        <w:pStyle w:val="ConsPlusNormal"/>
        <w:widowControl/>
        <w:ind w:firstLine="540"/>
        <w:jc w:val="both"/>
      </w:pPr>
      <w:r>
        <w:t>Наряду с этим будет продолжена работа по оценке эффективности применения повышающих коэффициентов</w:t>
      </w:r>
      <w:r>
        <w:t xml:space="preserve"> к норме амортизации.</w:t>
      </w:r>
    </w:p>
    <w:p w:rsidR="00000000" w:rsidRDefault="001034A9">
      <w:pPr>
        <w:pStyle w:val="ConsPlusNormal"/>
        <w:widowControl/>
        <w:ind w:firstLine="540"/>
        <w:jc w:val="both"/>
      </w:pPr>
      <w:r>
        <w:t>Так, в частности, учитывая принятые в последнее время меры, направленные на повышение инвестиционной активности организаций, предоставление права ускоренной амортизации в отношении любого имущества, являющегося предметом договора фина</w:t>
      </w:r>
      <w:r>
        <w:t>нсовой аренды (лизинга), нецелесообразно. Представляется обоснованным применение коэффициента ускоренной амортизации только при совершении лизинговых операций, соответствующих задачам модернизации экономики и обновления фондов производственного сектора.</w:t>
      </w:r>
    </w:p>
    <w:p w:rsidR="00000000" w:rsidRDefault="001034A9">
      <w:pPr>
        <w:pStyle w:val="ConsPlusNormal"/>
        <w:widowControl/>
        <w:ind w:firstLine="540"/>
        <w:jc w:val="both"/>
      </w:pPr>
      <w:r>
        <w:t xml:space="preserve">В </w:t>
      </w:r>
      <w:r>
        <w:t>целях упорядочивания данной меры налогового стимулирования предполагается разработка перечня видов основных средств, в отношении которых при предоставлении (получении) в лизинг к основной норме амортизации может применяться повышающий коэффициент.</w:t>
      </w:r>
    </w:p>
    <w:p w:rsidR="00000000" w:rsidRDefault="001034A9">
      <w:pPr>
        <w:pStyle w:val="ConsPlusNormal"/>
        <w:widowControl/>
        <w:ind w:firstLine="540"/>
        <w:jc w:val="both"/>
      </w:pPr>
      <w:r>
        <w:t>Повышени</w:t>
      </w:r>
      <w:r>
        <w:t>ю заинтересованности организаций в техническом перевооружении и повышении энергоэффективности производства должно способствовать предусмотренная возможность амортизации энергоэффективного оборудования с применением повышающего коэффициента 2. Для реализаци</w:t>
      </w:r>
      <w:r>
        <w:t>и указанной нормы будет разработан и утвержден перечень основных средств, относящихся к объектам, имеющим высокую энергетическую эффективность, для которых не предусмотрено установление классов энергетической эффективности.</w:t>
      </w:r>
    </w:p>
    <w:p w:rsidR="00000000" w:rsidRDefault="001034A9">
      <w:pPr>
        <w:pStyle w:val="ConsPlusNormal"/>
        <w:widowControl/>
        <w:ind w:firstLine="540"/>
        <w:jc w:val="both"/>
      </w:pPr>
      <w:r>
        <w:t>В целях создания стимулов к моде</w:t>
      </w:r>
      <w:r>
        <w:t>рнизации и обновлению основных средств предполагается внести изменения в порядок применения амортизационной премии, с тем чтобы при реконструкции, модернизации, техническом перевооружении основных средств не восстанавливать примененную в отношении них 30-п</w:t>
      </w:r>
      <w:r>
        <w:t>роцентную амортизационную премию, предусмотрев при этом механизмы, предотвращающие злоупотребления данной льготой со стороны недобросовестных налогоплательщиков, многократно применяющих указанную премию к одним и тем же основным средствам при их перепродаж</w:t>
      </w:r>
      <w:r>
        <w:t>е.</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1.3. Разработка порядка отнесения акций российских организаций, обращающихся на организованном рынке, к акциям высокотехнологичного (инновационного) сектора экономики в целях налогообложения</w:t>
      </w:r>
    </w:p>
    <w:p w:rsidR="00000000" w:rsidRDefault="001034A9">
      <w:pPr>
        <w:pStyle w:val="ConsPlusNormal"/>
        <w:widowControl/>
        <w:ind w:firstLine="540"/>
        <w:jc w:val="both"/>
      </w:pPr>
      <w:r>
        <w:t>С 1 января 2011 года в целях стимулирования долгосрочного вен</w:t>
      </w:r>
      <w:r>
        <w:t>чурного финансирования и повышения привлекательности инновационного бизнеса для частных инвестиций была установлена ставка налога на прибыль организаций и налога на доходы физических лиц в размере 0 процентов, применяемая к налоговой базе по операциям с ак</w:t>
      </w:r>
      <w:r>
        <w:t>циями российских организаций, обращающимися на организованном рынке ценных бумаг и являющимися акциями высокотехнологичного (инновационного) сектора экономики, при условии владения этими акциями на праве собственности или ином вещном праве более 5 лет.</w:t>
      </w:r>
    </w:p>
    <w:p w:rsidR="00000000" w:rsidRDefault="001034A9">
      <w:pPr>
        <w:pStyle w:val="ConsPlusNormal"/>
        <w:widowControl/>
        <w:ind w:firstLine="540"/>
        <w:jc w:val="both"/>
      </w:pPr>
      <w:r>
        <w:t>В ц</w:t>
      </w:r>
      <w:r>
        <w:t>елях реализации указанной нормы будет разработан и утвержден Правительством Российской Федерации порядок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w:t>
      </w:r>
      <w:r>
        <w:t>мики.</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1.4. Меры налоговой поддержки налогоплательщиков, на обеспечении которых находятся дети</w:t>
      </w:r>
    </w:p>
    <w:p w:rsidR="00000000" w:rsidRDefault="001034A9">
      <w:pPr>
        <w:pStyle w:val="ConsPlusNormal"/>
        <w:widowControl/>
        <w:ind w:firstLine="540"/>
        <w:jc w:val="both"/>
      </w:pPr>
      <w:r>
        <w:t>В целях реализации демографической и социальной политики подготовлен проект Федерального закона "О внесении изменений в статью 218 части второй Налогового кодекс</w:t>
      </w:r>
      <w:r>
        <w:t>а Российской Федерации и о признании утратившими силу отдельных положений законодательных актов Российской Федерации", предусматривающий увеличение размера предоставляемого налогоплательщикам стандартного налогового вычета на детей. В частности, вычет в ра</w:t>
      </w:r>
      <w:r>
        <w:t>змере 3000 рублей будет предоставляться на каждого третьего и последующего ребенка.</w:t>
      </w:r>
    </w:p>
    <w:p w:rsidR="00000000" w:rsidRDefault="001034A9">
      <w:pPr>
        <w:pStyle w:val="ConsPlusNormal"/>
        <w:widowControl/>
        <w:ind w:firstLine="540"/>
        <w:jc w:val="both"/>
      </w:pPr>
      <w:r>
        <w:t>Кроме того, законопроектом предусматривается отмена стандартного налогового вычета в размере 400 рублей, предоставляемого в настоящее время для всех налогоплательщиков, что</w:t>
      </w:r>
      <w:r>
        <w:t xml:space="preserve"> позволит частично компенсировать сокращение налоговых доходов бюджетов субъектов Российской Федерации в связи с увеличением налогового вычета для семей с детьми.</w:t>
      </w:r>
    </w:p>
    <w:p w:rsidR="00000000" w:rsidRDefault="001034A9">
      <w:pPr>
        <w:pStyle w:val="ConsPlusNormal"/>
        <w:widowControl/>
        <w:ind w:firstLine="540"/>
        <w:jc w:val="both"/>
      </w:pPr>
      <w:r>
        <w:t>Наряду с этим нуждается в законодательном урегулировании порядок предоставления имущественног</w:t>
      </w:r>
      <w:r>
        <w:t>о налогового вычета при приобретении жилья супругами, включая случаи приобретения жилья в общую собственность с несовершеннолетними детьми.</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2. Мониторинг эффективности налоговых льгот</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2.1. Оптимизация налоговых льгот</w:t>
      </w:r>
    </w:p>
    <w:p w:rsidR="00000000" w:rsidRDefault="001034A9">
      <w:pPr>
        <w:pStyle w:val="ConsPlusNormal"/>
        <w:widowControl/>
        <w:ind w:firstLine="540"/>
        <w:jc w:val="both"/>
      </w:pPr>
      <w:r>
        <w:t>В рамках реализации Бюджетного послания Президента Российской Федерации о бюджетной политике в 2010 - 2012 годах и в целях расширения налоговой автономии региональных и местных властей в 2012 году и плановом периоде 2013 и 2014 годов будет продолжена работ</w:t>
      </w:r>
      <w:r>
        <w:t xml:space="preserve">а по оптимизации установленных на федеральном уровне льгот по региональным и местным налогам. Такая политика, в первую очередь, является не средством изъятия дополнительных финансовых ресурсов у налогоплательщиков (большинство собственников указанных ниже </w:t>
      </w:r>
      <w:r>
        <w:t xml:space="preserve">объектов перекладывает дополнительную нагрузку либо на федеральный бюджет, либо на других налогоплательщиков через изменение своих тарифов), а в большей степени служит задачам бюджетного федерализма, предоставляя региональным и муниципальным властям более </w:t>
      </w:r>
      <w:r>
        <w:t>высокую степень налоговой автономии.</w:t>
      </w:r>
    </w:p>
    <w:p w:rsidR="00000000" w:rsidRDefault="001034A9">
      <w:pPr>
        <w:pStyle w:val="ConsPlusNormal"/>
        <w:widowControl/>
        <w:ind w:firstLine="540"/>
        <w:jc w:val="both"/>
      </w:pPr>
      <w:r>
        <w:t>Вместе с тем в ближайшее время ряд наиболее крупных налоговых льгот по налогу на имущество организаций (в отношении железнодорожных путей общего пользования, магистральных трубопроводов, линий энергопередачи, а также со</w:t>
      </w:r>
      <w:r>
        <w:t>оружений, являющихся неотъемлемой технологической частью указанных объектов) будет сохранен с целью создания возможностей для развития соответствующей инфраструктуры и сдерживания роста тарифов.</w:t>
      </w:r>
    </w:p>
    <w:p w:rsidR="00000000" w:rsidRDefault="001034A9">
      <w:pPr>
        <w:pStyle w:val="ConsPlusNormal"/>
        <w:widowControl/>
        <w:ind w:firstLine="540"/>
        <w:jc w:val="both"/>
      </w:pPr>
      <w:r>
        <w:t>Необходимо уточнение перечня доходов, освобождаемых от обложе</w:t>
      </w:r>
      <w:r>
        <w:t>ния налогом на доходы физических лиц, их систематизация, а также устранение имеющихся неточностей и противоречий, приводящих к неоднозначному толкованию норм. Указанная работа будет проводиться в рамках работы над внесенным Правительством Российской Федера</w:t>
      </w:r>
      <w:r>
        <w:t>ции в Государственную Думу проектом Федерального закона "О внесении изменений в статью 217 части второй Налогового кодекса Российской Федерации".</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2.2. Анализ применения и востребованности налоговых стимулирующих механизмов</w:t>
      </w:r>
    </w:p>
    <w:p w:rsidR="00000000" w:rsidRDefault="001034A9">
      <w:pPr>
        <w:pStyle w:val="ConsPlusNormal"/>
        <w:widowControl/>
        <w:ind w:firstLine="540"/>
        <w:jc w:val="both"/>
      </w:pPr>
      <w:r>
        <w:t>Регулярное проведение анализа ка</w:t>
      </w:r>
      <w:r>
        <w:t xml:space="preserve">к востребованности, так и практики администрирования установленных механизмов налогового стимулирования и налоговых льгот является одним из важнейших элементов налоговой политики, поскольку увеличение количества предоставляемых льгот в отсутствие сведений </w:t>
      </w:r>
      <w:r>
        <w:t>об их результативности не только приводит к выпадающим доходам бюджетной системы, но и дискредитирует саму идею предоставления налоговых льгот.</w:t>
      </w:r>
    </w:p>
    <w:p w:rsidR="00000000" w:rsidRDefault="001034A9">
      <w:pPr>
        <w:pStyle w:val="ConsPlusNormal"/>
        <w:widowControl/>
        <w:ind w:firstLine="540"/>
        <w:jc w:val="both"/>
      </w:pPr>
      <w:r>
        <w:t>Необходимо создание системы мониторинга применяемых налоговых льгот и оценки результативности их действия, позво</w:t>
      </w:r>
      <w:r>
        <w:t>ляющей принимать решения об их продлении или отмене, а также создание системы оценки доходов, не поступивших в бюджетную систему в результате применения налоговых льгот и освобождений, для их учета в качестве налоговых расходов бюджетов при подготовке зако</w:t>
      </w:r>
      <w:r>
        <w:t>на о бюджете и отчета об исполнении бюджетов.</w:t>
      </w:r>
    </w:p>
    <w:p w:rsidR="00000000" w:rsidRDefault="001034A9">
      <w:pPr>
        <w:pStyle w:val="ConsPlusNormal"/>
        <w:widowControl/>
        <w:ind w:firstLine="540"/>
        <w:jc w:val="both"/>
      </w:pPr>
      <w:r>
        <w:t>Несмотря на то, что предоставление налоговых стимулирующих механизмов и налоговых льгот напрямую не влечет расходования бюджетных средств, оно снижает доходы бюджета.</w:t>
      </w:r>
    </w:p>
    <w:p w:rsidR="00000000" w:rsidRDefault="001034A9">
      <w:pPr>
        <w:pStyle w:val="ConsPlusNormal"/>
        <w:widowControl/>
        <w:ind w:firstLine="540"/>
        <w:jc w:val="both"/>
      </w:pPr>
      <w:r>
        <w:t>Проведение мониторинга востребованности нал</w:t>
      </w:r>
      <w:r>
        <w:t>оговых стимулирующих механизмов возможно на основе отчетности Федеральной налоговой службы, формируемой на базе информации, содержащейся в налоговых декларациях, предоставляемых налогоплательщиками в налоговые органы.</w:t>
      </w:r>
    </w:p>
    <w:p w:rsidR="00000000" w:rsidRDefault="001034A9">
      <w:pPr>
        <w:pStyle w:val="ConsPlusNormal"/>
        <w:widowControl/>
        <w:ind w:firstLine="540"/>
        <w:jc w:val="both"/>
      </w:pPr>
      <w:r>
        <w:t>В целях проведения рассматриваемого мо</w:t>
      </w:r>
      <w:r>
        <w:t>ниторинга в существующие формы налоговых деклараций были внесены изменения, направленные на получение сведений, характеризующих количественные параметры использования налогоплательщиками определенного перечня налоговых льгот.</w:t>
      </w:r>
    </w:p>
    <w:p w:rsidR="00000000" w:rsidRDefault="001034A9">
      <w:pPr>
        <w:pStyle w:val="ConsPlusNormal"/>
        <w:widowControl/>
        <w:ind w:firstLine="540"/>
        <w:jc w:val="both"/>
      </w:pPr>
      <w:r>
        <w:t>В связи с недостатком информац</w:t>
      </w:r>
      <w:r>
        <w:t>ии о суммах выпадающих доходов по некоторым видам налогов в действующей налоговой отчетности, планируется внесение соответствующих изменений в формы налоговой отчетности.</w:t>
      </w:r>
    </w:p>
    <w:p w:rsidR="00000000" w:rsidRDefault="001034A9">
      <w:pPr>
        <w:pStyle w:val="ConsPlusNormal"/>
        <w:widowControl/>
        <w:ind w:firstLine="540"/>
        <w:jc w:val="both"/>
      </w:pPr>
      <w:r>
        <w:t>При этом выпадающие доходы от применения целого ряда существенных налоговых преимущес</w:t>
      </w:r>
      <w:r>
        <w:t>тв невозможно оценить на основании данных налоговой отчетности (например, выпадающие доходы от применения специальных налоговых режимов).</w:t>
      </w:r>
    </w:p>
    <w:p w:rsidR="00000000" w:rsidRDefault="001034A9">
      <w:pPr>
        <w:pStyle w:val="ConsPlusNormal"/>
        <w:widowControl/>
        <w:ind w:firstLine="540"/>
        <w:jc w:val="both"/>
      </w:pPr>
      <w:r>
        <w:t>На основании проведенного анализа можно будет сделать выводы об уровне востребованности и доступности конкретных льгот</w:t>
      </w:r>
      <w:r>
        <w:t xml:space="preserve">, результатах их применения с точки зрения соответствия изначально поставленным целям, что позволит отказаться от применения некоторых льгот, закрыть возможности для минимизации налогообложения, а также перераспределить </w:t>
      </w:r>
      <w:r>
        <w:lastRenderedPageBreak/>
        <w:t>"налоговые расходы" бюджета, осущест</w:t>
      </w:r>
      <w:r>
        <w:t>вляемые в виде налоговых льгот, на более востребованные направления.</w:t>
      </w:r>
    </w:p>
    <w:p w:rsidR="00000000" w:rsidRDefault="001034A9">
      <w:pPr>
        <w:pStyle w:val="ConsPlusNormal"/>
        <w:widowControl/>
        <w:ind w:firstLine="540"/>
        <w:jc w:val="both"/>
      </w:pPr>
      <w:r>
        <w:t>Результаты указанной работы позволят получить представление как о количестве налогоплательщиков, применяющих те или иные налоговые льготы, так и о суммах недопоступивших в бюджетную систе</w:t>
      </w:r>
      <w:r>
        <w:t>му доходов вследствие использования каждой из применяемых налоговых льгот.</w:t>
      </w:r>
    </w:p>
    <w:p w:rsidR="00000000" w:rsidRDefault="001034A9">
      <w:pPr>
        <w:pStyle w:val="ConsPlusNormal"/>
        <w:widowControl/>
        <w:ind w:firstLine="540"/>
        <w:jc w:val="both"/>
      </w:pPr>
      <w:r>
        <w:t>По итогам предварительного анализа за 2009 год общее количество рассматриваемых налоговых стимулирующих механизмов составляет 191 пункт, из них 60 - по налогу на прибыль организаций</w:t>
      </w:r>
      <w:r>
        <w:t>, 80 - по налогу на добавленную стоимость, 20 - по налогу на имущество, 16 - по земельному налогу, 12 - по налогу на добычу полезных ископаемых и 3 - по сборам за пользование объектами животного мира и водных биологических ресурсов.</w:t>
      </w:r>
    </w:p>
    <w:p w:rsidR="00000000" w:rsidRDefault="001034A9">
      <w:pPr>
        <w:pStyle w:val="ConsPlusNormal"/>
        <w:widowControl/>
        <w:ind w:firstLine="540"/>
        <w:jc w:val="both"/>
      </w:pPr>
      <w:r>
        <w:t>Следует отметить, что б</w:t>
      </w:r>
      <w:r>
        <w:t>олее 90% выпадающих доходов составляют потери, связанные с применением налоговых освобождений, обусловленных структурой налогов и использованием общих принципов налогообложения отдельных операций. Другими словами, указанные суммы не могут быть признаны нал</w:t>
      </w:r>
      <w:r>
        <w:t>оговыми расходами бюджетов, направленными на достижение тех или иных целей.</w:t>
      </w:r>
    </w:p>
    <w:p w:rsidR="00000000" w:rsidRDefault="001034A9">
      <w:pPr>
        <w:pStyle w:val="ConsPlusNormal"/>
        <w:widowControl/>
        <w:ind w:firstLine="540"/>
        <w:jc w:val="both"/>
      </w:pPr>
      <w:r>
        <w:t>Принятие решений по вопросам сохранения тех или иных льгот необходимо осуществлять по результатам анализа практики их применения и администрирования.</w:t>
      </w:r>
    </w:p>
    <w:p w:rsidR="00000000" w:rsidRDefault="001034A9">
      <w:pPr>
        <w:pStyle w:val="ConsPlusNormal"/>
        <w:widowControl/>
        <w:ind w:firstLine="540"/>
        <w:jc w:val="both"/>
      </w:pPr>
      <w:r>
        <w:t>Так, ведение новых льгот следу</w:t>
      </w:r>
      <w:r>
        <w:t>ет производить на временной основе с тем, чтобы по истечении определенного срока решение о пролонгации действия льготы принималось также по результатам проведенного анализа результативности.</w:t>
      </w:r>
    </w:p>
    <w:p w:rsidR="00000000" w:rsidRDefault="001034A9">
      <w:pPr>
        <w:pStyle w:val="ConsPlusNormal"/>
        <w:widowControl/>
        <w:ind w:firstLine="540"/>
        <w:jc w:val="both"/>
      </w:pPr>
      <w:r>
        <w:t>Предполагается, что доклад о "налоговых расходах" бюджетов и их э</w:t>
      </w:r>
      <w:r>
        <w:t>ффективности должен в обязательном порядке сопровождать представление проектов законов о бюджете на очередной год на всех уровнях государственной власти и местного самоуправления.</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3. Акцизное налогообложение</w:t>
      </w:r>
    </w:p>
    <w:p w:rsidR="00000000" w:rsidRDefault="001034A9">
      <w:pPr>
        <w:pStyle w:val="ConsPlusNormal"/>
        <w:widowControl/>
        <w:ind w:firstLine="540"/>
        <w:jc w:val="both"/>
      </w:pPr>
    </w:p>
    <w:p w:rsidR="00000000" w:rsidRDefault="001034A9">
      <w:pPr>
        <w:pStyle w:val="ConsPlusNormal"/>
        <w:widowControl/>
        <w:ind w:firstLine="540"/>
        <w:jc w:val="both"/>
      </w:pPr>
      <w:r>
        <w:t>В части налогообложения акцизами в плановом пе</w:t>
      </w:r>
      <w:r>
        <w:t>риоде периодическая индексация ставок акциза будет осуществляться с учетом реально складывающейся экономической ситуации, при этом повышение акцизов на алкогольную, спиртосодержащую и табачную продукцию будет производиться опережающими темпами по сравнению</w:t>
      </w:r>
      <w:r>
        <w:t xml:space="preserve"> с уровнем инфляции. Одновременно с этим повышение акцизов на алкогольную продукцию с объемной долей этилового спирта свыше 9 процентов будет производиться опережающими темпами по сравнению с темпами ставок в отношении алкогольной продукции с объемной доле</w:t>
      </w:r>
      <w:r>
        <w:t>й этилового спирта до 9 процентов, а также по сравнению с пивом и натуральными винами.</w:t>
      </w:r>
    </w:p>
    <w:p w:rsidR="00000000" w:rsidRDefault="001034A9">
      <w:pPr>
        <w:pStyle w:val="ConsPlusNormal"/>
        <w:widowControl/>
        <w:ind w:firstLine="540"/>
        <w:jc w:val="both"/>
      </w:pPr>
      <w:r>
        <w:t>В частности, в плановом периоде предусматривается принятие следующих решений.</w:t>
      </w:r>
    </w:p>
    <w:p w:rsidR="00000000" w:rsidRDefault="001034A9">
      <w:pPr>
        <w:pStyle w:val="ConsPlusNormal"/>
        <w:widowControl/>
        <w:ind w:firstLine="540"/>
        <w:jc w:val="both"/>
      </w:pPr>
      <w:r>
        <w:t>1. Установление ставок акциза на алкоголь</w:t>
      </w:r>
      <w:r>
        <w:t>ную продукцию с объемной долей этилового спирта свыше 9 процентов за 1 литр безводного этилового спирта, в том числе напитки, изготавливаемые на основе пива, произведенные с добавлением спирта этилового (за исключением пива, вин натуральных, в том числе ша</w:t>
      </w:r>
      <w:r>
        <w:t>мпанских, игристых, газированных, шипучих, натуральных напитков с объемной долей этилового спирта не более 6 процентов объема готовой продукции, изготовленных из виноматериалов, произведенных без добавления спирта этилового), в следующих размерах:</w:t>
      </w:r>
    </w:p>
    <w:p w:rsidR="00000000" w:rsidRDefault="001034A9">
      <w:pPr>
        <w:pStyle w:val="ConsPlusNormal"/>
        <w:widowControl/>
        <w:ind w:firstLine="540"/>
        <w:jc w:val="both"/>
      </w:pPr>
      <w:r>
        <w:t>с 1 янва</w:t>
      </w:r>
      <w:r>
        <w:t>ря по 30 июня 2012 года включительно - 254 рубля за 1 литр безводного этилового спирта, содержащегося в подакцизных товарах;</w:t>
      </w:r>
    </w:p>
    <w:p w:rsidR="00000000" w:rsidRDefault="001034A9">
      <w:pPr>
        <w:pStyle w:val="ConsPlusNormal"/>
        <w:widowControl/>
        <w:ind w:firstLine="540"/>
        <w:jc w:val="both"/>
      </w:pPr>
      <w:r>
        <w:t>с 1 июля по 31 декабря 2012 года включительно - 300 рублей за 1 литр безводного этилового спирта, содержащегося в подакцизных товар</w:t>
      </w:r>
      <w:r>
        <w:t>ах;</w:t>
      </w:r>
    </w:p>
    <w:p w:rsidR="00000000" w:rsidRDefault="001034A9">
      <w:pPr>
        <w:pStyle w:val="ConsPlusNormal"/>
        <w:widowControl/>
        <w:ind w:firstLine="540"/>
        <w:jc w:val="both"/>
      </w:pPr>
      <w:r>
        <w:t>с 1 января по 31 декабря 2013 года включительно - 400 рублей за 1 литр безводного этилового спирта, содержащегося в подакцизных товарах;</w:t>
      </w:r>
    </w:p>
    <w:p w:rsidR="00000000" w:rsidRDefault="001034A9">
      <w:pPr>
        <w:pStyle w:val="ConsPlusNormal"/>
        <w:widowControl/>
        <w:ind w:firstLine="540"/>
        <w:jc w:val="both"/>
      </w:pPr>
      <w:r>
        <w:t>с 1 января по 31 декабря 2014 года включительно - 500 рублей за 1 литр безводного этилового спирта, содержащегося в</w:t>
      </w:r>
      <w:r>
        <w:t xml:space="preserve"> подакцизных товарах.</w:t>
      </w:r>
    </w:p>
    <w:p w:rsidR="00000000" w:rsidRDefault="001034A9">
      <w:pPr>
        <w:pStyle w:val="ConsPlusNormal"/>
        <w:widowControl/>
        <w:ind w:firstLine="540"/>
        <w:jc w:val="both"/>
      </w:pPr>
      <w:r>
        <w:t>2. Установление ставок акциза на алкогольную продукцию с объемной долей этилового спирта до 9 процентов включительно, в том числе напитки, изготавливаемые на основе пива, произведенные с добавлением спирта этилового (за исключением пи</w:t>
      </w:r>
      <w:r>
        <w:t>ва, вин натуральных, в том числе шампанских, игристых, газированных, шипучих, натуральных напитков с объемной долей этилового спирта не более 6 процентов объема готовой продукции, изготовленных из виноматериалов, произведенных без добавления спирта этилово</w:t>
      </w:r>
      <w:r>
        <w:t>го) в следующих размерах:</w:t>
      </w:r>
    </w:p>
    <w:p w:rsidR="00000000" w:rsidRDefault="001034A9">
      <w:pPr>
        <w:pStyle w:val="ConsPlusNormal"/>
        <w:widowControl/>
        <w:ind w:firstLine="540"/>
        <w:jc w:val="both"/>
      </w:pPr>
      <w:r>
        <w:lastRenderedPageBreak/>
        <w:t>с 1 января по 30 июня 2012 года включительно - 230 рублей за 1 литр безводного этилового спирта, содержащегося в подакцизных товарах;</w:t>
      </w:r>
    </w:p>
    <w:p w:rsidR="00000000" w:rsidRDefault="001034A9">
      <w:pPr>
        <w:pStyle w:val="ConsPlusNormal"/>
        <w:widowControl/>
        <w:ind w:firstLine="540"/>
        <w:jc w:val="both"/>
      </w:pPr>
      <w:r>
        <w:t>с 1 июля по 31 декабря 2012 года включительно - 270 рублей за 1 литр безводного этилового спирта</w:t>
      </w:r>
      <w:r>
        <w:t>, содержащегося в подакцизных товарах;</w:t>
      </w:r>
    </w:p>
    <w:p w:rsidR="00000000" w:rsidRDefault="001034A9">
      <w:pPr>
        <w:pStyle w:val="ConsPlusNormal"/>
        <w:widowControl/>
        <w:ind w:firstLine="540"/>
        <w:jc w:val="both"/>
      </w:pPr>
      <w:r>
        <w:t>с 1 января по 31 декабря 2013 года включительно - 320 рублей за 1 литр безводного этилового спирта, содержащегося в подакцизных товарах;</w:t>
      </w:r>
    </w:p>
    <w:p w:rsidR="00000000" w:rsidRDefault="001034A9">
      <w:pPr>
        <w:pStyle w:val="ConsPlusNormal"/>
        <w:widowControl/>
        <w:ind w:firstLine="540"/>
        <w:jc w:val="both"/>
      </w:pPr>
      <w:r>
        <w:t>с 1 января по 31 декабря 2014 года включительно - 400 рублей за 1 литр безводног</w:t>
      </w:r>
      <w:r>
        <w:t>о этилового спирта, содержащегося в подакцизных товарах.</w:t>
      </w:r>
    </w:p>
    <w:p w:rsidR="00000000" w:rsidRDefault="001034A9">
      <w:pPr>
        <w:pStyle w:val="ConsPlusNormal"/>
        <w:widowControl/>
        <w:ind w:firstLine="540"/>
        <w:jc w:val="both"/>
      </w:pPr>
      <w:r>
        <w:t>3. Установление ставок акциза на пиво с нормативным (стандартизированным) содержанием объемной доли спирта этилового свыше 0,5 процента и до 8,6 процента включительно, а также напитки, изготавливаемы</w:t>
      </w:r>
      <w:r>
        <w:t>е на основе пива, произведенные без добавления спирта этилового, в следующих размерах:</w:t>
      </w:r>
    </w:p>
    <w:p w:rsidR="00000000" w:rsidRDefault="001034A9">
      <w:pPr>
        <w:pStyle w:val="ConsPlusNormal"/>
        <w:widowControl/>
        <w:ind w:firstLine="540"/>
        <w:jc w:val="both"/>
      </w:pPr>
      <w:r>
        <w:t>с 1 января по 31 декабря 2012 года включительно - 12 рублей за 1 литр;</w:t>
      </w:r>
    </w:p>
    <w:p w:rsidR="00000000" w:rsidRDefault="001034A9">
      <w:pPr>
        <w:pStyle w:val="ConsPlusNormal"/>
        <w:widowControl/>
        <w:ind w:firstLine="540"/>
        <w:jc w:val="both"/>
      </w:pPr>
      <w:r>
        <w:t>с 1 января по 31 декабря 2013 года включительно - 15 рублей за 1 литр;</w:t>
      </w:r>
    </w:p>
    <w:p w:rsidR="00000000" w:rsidRDefault="001034A9">
      <w:pPr>
        <w:pStyle w:val="ConsPlusNormal"/>
        <w:widowControl/>
        <w:ind w:firstLine="540"/>
        <w:jc w:val="both"/>
      </w:pPr>
      <w:r>
        <w:t>с 1 января по 31 декабря 20</w:t>
      </w:r>
      <w:r>
        <w:t>14 года включительно - 18 рублей за 1 литр.</w:t>
      </w:r>
    </w:p>
    <w:p w:rsidR="00000000" w:rsidRDefault="001034A9">
      <w:pPr>
        <w:pStyle w:val="ConsPlusNormal"/>
        <w:widowControl/>
        <w:ind w:firstLine="540"/>
        <w:jc w:val="both"/>
      </w:pPr>
      <w:r>
        <w:t>4. Установление ставок акциза на пиво с нормативным (стандартизированным) содержанием объемной доли спирта этилового свыше 8,6 процента в следующих размерах:</w:t>
      </w:r>
    </w:p>
    <w:p w:rsidR="00000000" w:rsidRDefault="001034A9">
      <w:pPr>
        <w:pStyle w:val="ConsPlusNormal"/>
        <w:widowControl/>
        <w:ind w:firstLine="540"/>
        <w:jc w:val="both"/>
      </w:pPr>
      <w:r>
        <w:t>с 1 января по 31 декабря 2012 года включительно - 21 р</w:t>
      </w:r>
      <w:r>
        <w:t>убль за 1 литр;</w:t>
      </w:r>
    </w:p>
    <w:p w:rsidR="00000000" w:rsidRDefault="001034A9">
      <w:pPr>
        <w:pStyle w:val="ConsPlusNormal"/>
        <w:widowControl/>
        <w:ind w:firstLine="540"/>
        <w:jc w:val="both"/>
      </w:pPr>
      <w:r>
        <w:t>с 1 января по 31 декабря 2013 года включительно - 26 рублей за 1 литр;</w:t>
      </w:r>
    </w:p>
    <w:p w:rsidR="00000000" w:rsidRDefault="001034A9">
      <w:pPr>
        <w:pStyle w:val="ConsPlusNormal"/>
        <w:widowControl/>
        <w:ind w:firstLine="540"/>
        <w:jc w:val="both"/>
      </w:pPr>
      <w:r>
        <w:t>с 1 января по 31 декабря 2014 года включительно - 31 рубль за 1 литр.</w:t>
      </w:r>
    </w:p>
    <w:p w:rsidR="00000000" w:rsidRDefault="001034A9">
      <w:pPr>
        <w:pStyle w:val="ConsPlusNormal"/>
        <w:widowControl/>
        <w:ind w:firstLine="540"/>
        <w:jc w:val="both"/>
      </w:pPr>
      <w:r>
        <w:t>В период до 2015 года налоговая политика в отношении акцизов на табачную продукцию будет осуществля</w:t>
      </w:r>
      <w:r>
        <w:t>ться, в том числе, путем реализации мер по снижению потребления указанной продукции, предусмотренных Концепцией осуществления государственной политики противодействия потреблению табака на 2010 - 2015 годы, утвержденной распоряжением Правительства Российск</w:t>
      </w:r>
      <w:r>
        <w:t>ой Федерации от 23 сентября 2010 г. N 1563-р. В связи с этим с целью достижения среднего уровня налогообложения табачной продукции среди стран европейского региона Всемирной организации здравоохранения (с учетом покупательной способности населения) ежегодн</w:t>
      </w:r>
      <w:r>
        <w:t>ый темп увеличения минимальных ставок акцизов должен обеспечить их увеличение до 2014 года не менее чем в 3 раза.</w:t>
      </w:r>
    </w:p>
    <w:p w:rsidR="00000000" w:rsidRDefault="001034A9">
      <w:pPr>
        <w:pStyle w:val="ConsPlusNormal"/>
        <w:widowControl/>
        <w:ind w:firstLine="540"/>
        <w:jc w:val="both"/>
      </w:pPr>
      <w:r>
        <w:t>Кроме того, будет предусмотрено установление ставок акциза в одинаковом размере на сигареты с фильтром и сигареты без фильтра (папиросы).</w:t>
      </w:r>
    </w:p>
    <w:p w:rsidR="00000000" w:rsidRDefault="001034A9">
      <w:pPr>
        <w:pStyle w:val="ConsPlusNormal"/>
        <w:widowControl/>
        <w:ind w:firstLine="540"/>
        <w:jc w:val="both"/>
      </w:pPr>
      <w:r>
        <w:t>В ча</w:t>
      </w:r>
      <w:r>
        <w:t>стности, в плановом периоде предусматривается установление следующих ставок акциза на табачную продукцию:</w:t>
      </w:r>
    </w:p>
    <w:p w:rsidR="00000000" w:rsidRDefault="001034A9">
      <w:pPr>
        <w:pStyle w:val="ConsPlusNormal"/>
        <w:widowControl/>
        <w:ind w:firstLine="540"/>
        <w:jc w:val="both"/>
      </w:pPr>
      <w:r>
        <w:t>с 1 января по 30 июня 2012 года включительно - 360 рублей за 1000 штук + 7,5 процента расчетной стоимости, исчисляемой исходя из максимальной рознично</w:t>
      </w:r>
      <w:r>
        <w:t>й цены, но не менее 460 рублей за 1000 штук;</w:t>
      </w:r>
    </w:p>
    <w:p w:rsidR="00000000" w:rsidRDefault="001034A9">
      <w:pPr>
        <w:pStyle w:val="ConsPlusNormal"/>
        <w:widowControl/>
        <w:ind w:firstLine="540"/>
        <w:jc w:val="both"/>
      </w:pPr>
      <w:r>
        <w:t>с 1 июля по 31 декабря 2012 года включительно - 390 рублей за 1000 штук + 7,5 процента расчетной стоимости, исчисляемой исходя из максимальной розничной цены, но не менее 510 рублей за 1000 штук;</w:t>
      </w:r>
    </w:p>
    <w:p w:rsidR="00000000" w:rsidRDefault="001034A9">
      <w:pPr>
        <w:pStyle w:val="ConsPlusNormal"/>
        <w:widowControl/>
        <w:ind w:firstLine="540"/>
        <w:jc w:val="both"/>
      </w:pPr>
      <w:r>
        <w:t>с 1 января по 3</w:t>
      </w:r>
      <w:r>
        <w:t>1 декабря 2013 года включительно - 550 рублей за 1000 штук + 8,0 процента расчетной стоимости, исчисляемой исходя из максимальной розничной цены, но не менее 730 рублей за 1000 штук;</w:t>
      </w:r>
    </w:p>
    <w:p w:rsidR="00000000" w:rsidRDefault="001034A9">
      <w:pPr>
        <w:pStyle w:val="ConsPlusNormal"/>
        <w:widowControl/>
        <w:ind w:firstLine="540"/>
        <w:jc w:val="both"/>
      </w:pPr>
      <w:r>
        <w:t>с 1 января по 31 декабря 2014 года включительно - 800 рублей за 1000 штук</w:t>
      </w:r>
      <w:r>
        <w:t xml:space="preserve"> + 8,5 процента расчетной стоимости, исчисляемой исходя из максимальной розничной цены, но не менее 1040 рублей за 1000 штук.</w:t>
      </w:r>
    </w:p>
    <w:p w:rsidR="00000000" w:rsidRDefault="001034A9">
      <w:pPr>
        <w:pStyle w:val="ConsPlusNormal"/>
        <w:widowControl/>
        <w:ind w:firstLine="540"/>
        <w:jc w:val="both"/>
      </w:pPr>
      <w:r>
        <w:t>Следует отметить, что в связи с ускоренной индексацией минимальной специфической ставки акциза на табачную продукцию постепенно бу</w:t>
      </w:r>
      <w:r>
        <w:t>дет происходить уменьшение разницы между розничными ценами табачных изделий в низко-, средне- и высокоценовом сегментах. В этих условиях постепенно будет снижаться значение адвалорной составляющей акцизной ставки, от которой будет возможно отказаться полно</w:t>
      </w:r>
      <w:r>
        <w:t>стью по достижении среднего уровня налогообложения табачной продукции среди стран европейского региона Всемирной организации здравоохранения в соответствии с Концепцией осуществления государственной политики противодействия потреблению табака на 2010 - 201</w:t>
      </w:r>
      <w:r>
        <w:t>5 годы.</w:t>
      </w:r>
    </w:p>
    <w:p w:rsidR="00000000" w:rsidRDefault="001034A9">
      <w:pPr>
        <w:pStyle w:val="ConsPlusNormal"/>
        <w:widowControl/>
        <w:ind w:firstLine="540"/>
        <w:jc w:val="both"/>
      </w:pPr>
      <w:r>
        <w:t xml:space="preserve">В отношении прочих подакцизных товаров предусматривается сохранение ставок акциза в 2012 и 2013 годах в размерах, предусмотренных действующим законодательством о налогах и сборах с последующей индексацией ставок акциза, установленных в рублях, с 1 </w:t>
      </w:r>
      <w:r>
        <w:t>января 2014 года на 10 процентов к ставкам, применявшимся с 1 января по 31 декабря 2013 года включительно.</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lastRenderedPageBreak/>
        <w:t>4. Совершенствование налогообложения при операциях с ценными бумагами и финансовыми инструментами срочных сделок, финансовыми операциями</w:t>
      </w:r>
    </w:p>
    <w:p w:rsidR="00000000" w:rsidRDefault="001034A9">
      <w:pPr>
        <w:pStyle w:val="ConsPlusNormal"/>
        <w:widowControl/>
        <w:ind w:firstLine="540"/>
        <w:jc w:val="both"/>
      </w:pPr>
    </w:p>
    <w:p w:rsidR="00000000" w:rsidRDefault="001034A9">
      <w:pPr>
        <w:pStyle w:val="ConsPlusNormal"/>
        <w:widowControl/>
        <w:ind w:firstLine="540"/>
        <w:jc w:val="both"/>
      </w:pPr>
      <w:r>
        <w:t>Вопросы, связанные с налогообложением финансовых инструментов, а также деятельности инвесторов и профессиональных участников рынка ценных бумаг, обсуждаются в настоящее время в рамках создания в Российской Федерации Международного финансового центра. В это</w:t>
      </w:r>
      <w:r>
        <w:t>й связи целесообразно принять ряд решений, направленных на совершенствование налогообложения при совершении операций с еврооблигациями российских эмитентов, депозитарными расписками, а также при получении и выплате дивидендов.</w:t>
      </w:r>
    </w:p>
    <w:p w:rsidR="00000000" w:rsidRDefault="001034A9">
      <w:pPr>
        <w:pStyle w:val="ConsPlusNormal"/>
        <w:widowControl/>
        <w:ind w:firstLine="540"/>
        <w:jc w:val="both"/>
      </w:pPr>
      <w:r>
        <w:t xml:space="preserve">Действующая редакция Кодекса </w:t>
      </w:r>
      <w:r>
        <w:t>не предусматривает освобождения от налога на прибыль организаций, удерживаемого у источника, при выплате дохода нерезиденту - юридическому лицу по еврооблигациям российских эмитентов, в том числе Российской Федерацией и субъектов Российской Федерации. Поэт</w:t>
      </w:r>
      <w:r>
        <w:t>ому в настоящее время российские еврооблигации выпускаются через специально создаваемые иностранные компании (например, в Люксембурге или в Ирландии), при выплате процентов по которым налог у источника не удерживается в России в соответствии с соглашениями</w:t>
      </w:r>
      <w:r>
        <w:t xml:space="preserve"> об избежании двойного налогообложения.</w:t>
      </w:r>
    </w:p>
    <w:p w:rsidR="00000000" w:rsidRDefault="001034A9">
      <w:pPr>
        <w:pStyle w:val="ConsPlusNormal"/>
        <w:widowControl/>
        <w:ind w:firstLine="540"/>
        <w:jc w:val="both"/>
      </w:pPr>
      <w:r>
        <w:t>С целью повышения нейтральности налоговой системы по отношению к способу выпуска еврооблигаций предлагается ввести в законодательство о налогах и сборах освобождение от удержания налога на прибыль организаций у источ</w:t>
      </w:r>
      <w:r>
        <w:t>ника по процентам, выплачиваемым по облигациям российских эмитентов.</w:t>
      </w:r>
    </w:p>
    <w:p w:rsidR="00000000" w:rsidRDefault="001034A9">
      <w:pPr>
        <w:pStyle w:val="ConsPlusNormal"/>
        <w:widowControl/>
        <w:ind w:firstLine="540"/>
        <w:jc w:val="both"/>
      </w:pPr>
      <w:r>
        <w:t>В настоящее время доход, получаемый нерезидентами при реализации ценных бумаг на зарубежных биржах, не облагается налогом на прибыль в Российской Федерации. Однако доходы, полученные от р</w:t>
      </w:r>
      <w:r>
        <w:t>еализации аналогичных ценных бумаг на российской бирже, облагаются налогом на прибыль организаций, удерживаемым у источника выплаты в Российской Федерации, в случае, если активы соответствующих эмитентов более чем на 50% состоят из недвижимого имущества. Д</w:t>
      </w:r>
      <w:r>
        <w:t>анный факт влечет вывод оборота от торговли ценными бумагами российских эмитентов, финансовыми инструментами и производными от акций из России на зарубежные биржи.</w:t>
      </w:r>
    </w:p>
    <w:p w:rsidR="00000000" w:rsidRDefault="001034A9">
      <w:pPr>
        <w:pStyle w:val="ConsPlusNormal"/>
        <w:widowControl/>
        <w:ind w:firstLine="540"/>
        <w:jc w:val="both"/>
      </w:pPr>
      <w:r>
        <w:t>При этом большинство российских "голубых" фишек являются компаниями ресурсного сектора, в со</w:t>
      </w:r>
      <w:r>
        <w:t>ставе активов которых недвижимое имущество, как правило, составляет более 50% стоимости всех активов.</w:t>
      </w:r>
    </w:p>
    <w:p w:rsidR="00000000" w:rsidRDefault="001034A9">
      <w:pPr>
        <w:pStyle w:val="ConsPlusNormal"/>
        <w:widowControl/>
        <w:ind w:firstLine="540"/>
        <w:jc w:val="both"/>
      </w:pPr>
      <w:r>
        <w:t>Освобождение от налогообложения обращающихся акций компаний, более 50% активов которых состоит из недвижимости в Российской Федерации, будет стимулировать</w:t>
      </w:r>
      <w:r>
        <w:t xml:space="preserve"> приток иностранных инвестиций на внутренний фондовый рынок. При этом ограничение указанного освобождения только обращающимися ценными бумагами позволит предотвратить злоупотребления, при которых продажа недвижимости маскируется реализацией ценных бумаг ко</w:t>
      </w:r>
      <w:r>
        <w:t>мпании, которой принадлежит эта недвижимость. В этих целях предлагается внести поправки в подпункт 5 пункта 1 статьи 309 Кодекса, отменяющие взимание налога у источника для доходов от реализации обращающихся бумаг.</w:t>
      </w:r>
    </w:p>
    <w:p w:rsidR="00000000" w:rsidRDefault="001034A9">
      <w:pPr>
        <w:pStyle w:val="ConsPlusNormal"/>
        <w:widowControl/>
        <w:ind w:firstLine="540"/>
        <w:jc w:val="both"/>
      </w:pPr>
      <w:r>
        <w:t xml:space="preserve">Требуется законодательное урегулирование </w:t>
      </w:r>
      <w:r>
        <w:t>порядка налогообложения глобальных депозитарных расписок (GDR), американских депозитарных расписок (ADR), российских депозитарных расписок (РДР).</w:t>
      </w:r>
    </w:p>
    <w:p w:rsidR="00000000" w:rsidRDefault="001034A9">
      <w:pPr>
        <w:pStyle w:val="ConsPlusNormal"/>
        <w:widowControl/>
        <w:ind w:firstLine="540"/>
        <w:jc w:val="both"/>
      </w:pPr>
      <w:r>
        <w:t xml:space="preserve">В настоящее время отсутствуют правила налогообложения операций конвертации ADR, GDR и РДР в акции и обратно - </w:t>
      </w:r>
      <w:r>
        <w:t>из акций в депозитарные расписки. В этой связи целесообразно внесение дополнений в статью 280 Кодекса, устанавливающих, что при конвертации локальных ценных бумаг в депозитарные расписки и наоборот реализации соответствующих ценных бумаг не происходит.</w:t>
      </w:r>
    </w:p>
    <w:p w:rsidR="00000000" w:rsidRDefault="001034A9">
      <w:pPr>
        <w:pStyle w:val="ConsPlusNormal"/>
        <w:widowControl/>
        <w:ind w:firstLine="540"/>
        <w:jc w:val="both"/>
      </w:pPr>
      <w:r>
        <w:t>Пос</w:t>
      </w:r>
      <w:r>
        <w:t>кольку ликвидность российского рынка в основном сосредоточена в данной форме бумаг, регулирование спорных вопросов в отношении указанных финансовых инструментов будет являться положительным сигналом для инвесторов.</w:t>
      </w:r>
    </w:p>
    <w:p w:rsidR="00000000" w:rsidRDefault="001034A9">
      <w:pPr>
        <w:pStyle w:val="ConsPlusNormal"/>
        <w:widowControl/>
        <w:ind w:firstLine="540"/>
        <w:jc w:val="both"/>
      </w:pPr>
      <w:r>
        <w:t>При этом в качестве основы для поправок м</w:t>
      </w:r>
      <w:r>
        <w:t>огут быть использованы уже выработанные практикой подходы, в том числе отраженные в разъяснительных письмах Минфина России.</w:t>
      </w:r>
    </w:p>
    <w:p w:rsidR="00000000" w:rsidRDefault="001034A9">
      <w:pPr>
        <w:pStyle w:val="ConsPlusNormal"/>
        <w:widowControl/>
        <w:ind w:firstLine="540"/>
        <w:jc w:val="both"/>
      </w:pPr>
      <w:r>
        <w:t>В настоящее время в главе 25 Кодекса не отражен порядок признания доходов, полученных при частичном погашении номинала ценных бумаг.</w:t>
      </w:r>
      <w:r>
        <w:t xml:space="preserve"> В отсутствие специальных правил налогоплательщики вынуждены откладывать момент признания полученных от эмитента денежных средств в налоговом учете на неопределенный срок, что усложняет ведение налогового учета по таким ценным бумагам.</w:t>
      </w:r>
    </w:p>
    <w:p w:rsidR="00000000" w:rsidRDefault="001034A9">
      <w:pPr>
        <w:pStyle w:val="ConsPlusNormal"/>
        <w:widowControl/>
        <w:ind w:firstLine="540"/>
        <w:jc w:val="both"/>
      </w:pPr>
      <w:r>
        <w:lastRenderedPageBreak/>
        <w:t xml:space="preserve">Данная проблема уже </w:t>
      </w:r>
      <w:r>
        <w:t>была успешно решена в отношении определения налоговой базы по операциям с ценными бумагами физических лиц после внесения изменений в статью 214.1 главы 23 Кодекса. Предлагается внести аналогичные поправки в пункт 2 статьи 280 Кодекса.</w:t>
      </w:r>
    </w:p>
    <w:p w:rsidR="00000000" w:rsidRDefault="001034A9">
      <w:pPr>
        <w:pStyle w:val="ConsPlusNormal"/>
        <w:widowControl/>
        <w:ind w:firstLine="540"/>
        <w:jc w:val="both"/>
      </w:pPr>
      <w:r>
        <w:t>Предлагается решить п</w:t>
      </w:r>
      <w:r>
        <w:t>роблему списания дебиторской задолженности при ликвидации эмитента (векселедателя).</w:t>
      </w:r>
    </w:p>
    <w:p w:rsidR="00000000" w:rsidRDefault="001034A9">
      <w:pPr>
        <w:pStyle w:val="ConsPlusNormal"/>
        <w:widowControl/>
        <w:ind w:firstLine="540"/>
        <w:jc w:val="both"/>
      </w:pPr>
      <w:r>
        <w:t>Так, у банков есть право формировать резерв по сомнительным долгам в отношении процентов, по которым нет обеспечения. Однако по эмиссионным ценным бумагам, как правило, при</w:t>
      </w:r>
      <w:r>
        <w:t xml:space="preserve"> утверждении проспекта эмиссии требуется наличие поручителя. При этом в случае дефолта эмитента, как правило, поручитель тоже признается банкротом. Возможность корректировки налоговой базы по процентам в отношении таких ценных бумаг отсутствует, в связи с </w:t>
      </w:r>
      <w:r>
        <w:t>чем профессиональные участники не могут реализовать возможность списания убытков в указанных случаях за счет резерва под обесценение ценных бумаг (статья 300 Кодекса).</w:t>
      </w:r>
    </w:p>
    <w:p w:rsidR="00000000" w:rsidRDefault="001034A9">
      <w:pPr>
        <w:pStyle w:val="ConsPlusNormal"/>
        <w:widowControl/>
        <w:ind w:firstLine="540"/>
        <w:jc w:val="both"/>
      </w:pPr>
      <w:r>
        <w:t>Для решения указанной проблемы предлагается в законодательном порядке разрешить налогопл</w:t>
      </w:r>
      <w:r>
        <w:t>ательщикам признавать убытки по долговым ценным бумагам в уменьшение налоговой базы по налогу на прибыль в случае банкротства эмитента (векселедателя).</w:t>
      </w:r>
    </w:p>
    <w:p w:rsidR="00000000" w:rsidRDefault="001034A9">
      <w:pPr>
        <w:pStyle w:val="ConsPlusNormal"/>
        <w:widowControl/>
        <w:ind w:firstLine="540"/>
        <w:jc w:val="both"/>
      </w:pPr>
      <w:r>
        <w:t xml:space="preserve">В законодательстве о налогах и сборах в настоящее время отсутствует методология налогообложения налогом </w:t>
      </w:r>
      <w:r>
        <w:t>на прибыль дивидендов при совершении операций РЕПО, что требует внесения поправок в статьи 282, 309 - 312 Кодекса.</w:t>
      </w:r>
    </w:p>
    <w:p w:rsidR="00000000" w:rsidRDefault="001034A9">
      <w:pPr>
        <w:pStyle w:val="ConsPlusNormal"/>
        <w:widowControl/>
        <w:ind w:firstLine="540"/>
        <w:jc w:val="both"/>
      </w:pPr>
      <w:r>
        <w:t>В настоящее время доход должен облагаться у продавца по первой части РЕПО, при этом признаваться дивидендами и облагаться по ставкам для диви</w:t>
      </w:r>
      <w:r>
        <w:t>дендов. При этом для целей налогообложения под открытием короткой позиции по ценной бумаге понимается реализация (выбытие) ценной бумаги при наличии обязательств налогоплательщика по возврату ценной бумаги, полученной по первой части РЕПО или договору займ</w:t>
      </w:r>
      <w:r>
        <w:t>а.</w:t>
      </w:r>
    </w:p>
    <w:p w:rsidR="00000000" w:rsidRDefault="001034A9">
      <w:pPr>
        <w:pStyle w:val="ConsPlusNormal"/>
        <w:widowControl/>
        <w:ind w:firstLine="540"/>
        <w:jc w:val="both"/>
      </w:pPr>
      <w:r>
        <w:t>Поскольку отсутствует методология налогообложения дивидендов в короткой позиции, потенциально возможно двойное налогообложение одного и того же дивидендного потока.</w:t>
      </w:r>
    </w:p>
    <w:p w:rsidR="00000000" w:rsidRDefault="001034A9">
      <w:pPr>
        <w:pStyle w:val="ConsPlusNormal"/>
        <w:widowControl/>
        <w:ind w:firstLine="540"/>
        <w:jc w:val="both"/>
      </w:pPr>
      <w:r>
        <w:t>Для решения данной проблемы следует разрешить экономическому собственнику ценных бумаг п</w:t>
      </w:r>
      <w:r>
        <w:t>ризнавать дивидендный доход в налоговых целях. В статью 282 Кодекса может быть внесено изменение, устанавливающее порядок налогообложения дивидендов при короткой позиции.</w:t>
      </w:r>
    </w:p>
    <w:p w:rsidR="00000000" w:rsidRDefault="001034A9">
      <w:pPr>
        <w:pStyle w:val="ConsPlusNormal"/>
        <w:widowControl/>
        <w:ind w:firstLine="540"/>
        <w:jc w:val="both"/>
      </w:pPr>
      <w:r>
        <w:t>В соответствии с пунктом 1 статьи 301 Кодекса не признается финансовым инструментом с</w:t>
      </w:r>
      <w:r>
        <w:t>рочной сделки договор, требования по которому не подлежат судебной защите в соответствии с гражданским законодательством Российской Федерации. Убытки от таких договоров не учитываются при определении налоговой базы. Это накладывает существенные ограничения</w:t>
      </w:r>
      <w:r>
        <w:t xml:space="preserve"> на возможности российских налогоплательщиков на срочном рынке. Для российской организации, не имеющей лицензии профессионального участника, невыгодно заключение срочной сделки напрямую с иностранной организацией без участия российского брокера, так как та</w:t>
      </w:r>
      <w:r>
        <w:t>кая сделка не будет подлежать судебной защите в соответствии с Гражданским кодексом Российской Федерации, и соответственно убытки по ней не смогут быть учтены при налогообложении.</w:t>
      </w:r>
    </w:p>
    <w:p w:rsidR="00000000" w:rsidRDefault="001034A9">
      <w:pPr>
        <w:pStyle w:val="ConsPlusNormal"/>
        <w:widowControl/>
        <w:ind w:firstLine="540"/>
        <w:jc w:val="both"/>
      </w:pPr>
      <w:r>
        <w:t>В связи с этим пункт 1 статьи 301 Кодекса предполагается дополнить положение</w:t>
      </w:r>
      <w:r>
        <w:t>м о признании финансовым инструментом срочной сделки договора, подлежащего судебной защите по применимому иностранному праву.</w:t>
      </w:r>
    </w:p>
    <w:p w:rsidR="00000000" w:rsidRDefault="001034A9">
      <w:pPr>
        <w:pStyle w:val="ConsPlusNormal"/>
        <w:widowControl/>
        <w:ind w:firstLine="540"/>
        <w:jc w:val="both"/>
      </w:pPr>
      <w:r>
        <w:t>Внесение указанного дополнения будет способствовать развитию российского рынка деривативов, привлечению на российский рынок иностр</w:t>
      </w:r>
      <w:r>
        <w:t>анных банков, которые принесут в Россию свои продукты, знания, опыт и технологии.</w:t>
      </w:r>
    </w:p>
    <w:p w:rsidR="00000000" w:rsidRDefault="001034A9">
      <w:pPr>
        <w:pStyle w:val="ConsPlusNormal"/>
        <w:widowControl/>
        <w:ind w:firstLine="540"/>
        <w:jc w:val="both"/>
      </w:pPr>
      <w:r>
        <w:t>У профессиональных участников рынка ценных бумаг суммы налога на добавленную стоимость, уплаченного поставщикам, в большинстве своем полностью относятся на расходы. Таким обр</w:t>
      </w:r>
      <w:r>
        <w:t>азом, финансовые услуги российских лиц на 18% дороже, чем у иностранных конкурентов.</w:t>
      </w:r>
    </w:p>
    <w:p w:rsidR="00000000" w:rsidRDefault="001034A9">
      <w:pPr>
        <w:pStyle w:val="ConsPlusNormal"/>
        <w:widowControl/>
        <w:ind w:firstLine="540"/>
        <w:jc w:val="both"/>
      </w:pPr>
      <w:r>
        <w:t>В целях повышения конкурентоспособности российских организаций, оказывающих финансовые услуги, может быть определен перечень конкретных услуг, оказываемых профессиональным</w:t>
      </w:r>
      <w:r>
        <w:t>и участниками рынка ценных бумаг, которые можно освободить от налога на добавленную стоимость: брокерские, депозитарные, услуги управляющих активами, услуги андеррайтинга.</w:t>
      </w:r>
    </w:p>
    <w:p w:rsidR="00000000" w:rsidRDefault="001034A9">
      <w:pPr>
        <w:pStyle w:val="ConsPlusNormal"/>
        <w:widowControl/>
        <w:ind w:firstLine="540"/>
        <w:jc w:val="both"/>
      </w:pPr>
      <w:r>
        <w:t>Нуждаются в совершенствовании процедуры зачета НДС для профессиональных участников рынка ценных бумаг в части определения соотношения облагаемого и необлагаемого оборота. Для устранения существующих диспропорций в расчете пропорции облагаемых и необлагаемы</w:t>
      </w:r>
      <w:r>
        <w:t>х операций предлагается при таком расчете учитывать прибыль (доходы) соответствующего налогоплательщика, а не валовые обороты.</w:t>
      </w:r>
    </w:p>
    <w:p w:rsidR="00000000" w:rsidRDefault="001034A9">
      <w:pPr>
        <w:pStyle w:val="ConsPlusNormal"/>
        <w:widowControl/>
        <w:ind w:firstLine="540"/>
        <w:jc w:val="both"/>
      </w:pPr>
      <w:r>
        <w:lastRenderedPageBreak/>
        <w:t>Подпункт 2 пункта 2 статьи 23 Кодекса обязывает организации сообщать в налоговый орган сведения обо всех случаях участия в россий</w:t>
      </w:r>
      <w:r>
        <w:t xml:space="preserve">ских и иностранных организациях. Исполнение такой обязанности профессиональными участниками рынка ценных бумаг нуждается в корректировке, поскольку не учитывается специфика таких организаций, для которых операции с ценными бумагами являются основным видом </w:t>
      </w:r>
      <w:r>
        <w:t>деятельности.</w:t>
      </w:r>
    </w:p>
    <w:p w:rsidR="00000000" w:rsidRDefault="001034A9">
      <w:pPr>
        <w:pStyle w:val="ConsPlusNormal"/>
        <w:widowControl/>
        <w:ind w:firstLine="540"/>
        <w:jc w:val="both"/>
      </w:pPr>
      <w:r>
        <w:t>Кроме того, представление такой информации в ряде случаев не нужно и налоговым органам для целей налогового контроля.</w:t>
      </w:r>
    </w:p>
    <w:p w:rsidR="00000000" w:rsidRDefault="001034A9">
      <w:pPr>
        <w:pStyle w:val="ConsPlusNormal"/>
        <w:widowControl/>
        <w:ind w:firstLine="540"/>
        <w:jc w:val="both"/>
      </w:pPr>
      <w:r>
        <w:t>Внесение изменений в порядок исполнения такой обязанности (например, в зависимости от процента участия, срока владения и т.п</w:t>
      </w:r>
      <w:r>
        <w:t>.) позволит значительно сократить административные барьеры.</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5. Налог на прибыль организаций</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 xml:space="preserve">5.1. Уточнение порядка налогового учета доходов от реализации имущества, права на которые подлежат государственной регистрации в соответствии с законодательством </w:t>
      </w:r>
      <w:r>
        <w:t>Российской Федерации</w:t>
      </w:r>
    </w:p>
    <w:p w:rsidR="00000000" w:rsidRDefault="001034A9">
      <w:pPr>
        <w:pStyle w:val="ConsPlusNormal"/>
        <w:widowControl/>
        <w:ind w:firstLine="540"/>
        <w:jc w:val="both"/>
      </w:pPr>
      <w:r>
        <w:t>При применении метода начисления датой получения дохода от реализации признается дата реализации товаров (работ, услуг, имущественных прав). Переход права собственности на объекты недвижимого имущества подлежит государственной регистра</w:t>
      </w:r>
      <w:r>
        <w:t xml:space="preserve">ции. В связи с тем, что регистрация права собственности может занимать достаточно продолжительное время, при приобретении таких объектов в целях налогообложения прибыли предусмотрена возможность начисления амортизации с момента введения основного средства </w:t>
      </w:r>
      <w:r>
        <w:t>в эксплуатацию и подачи документов на государственную регистрацию прав.</w:t>
      </w:r>
    </w:p>
    <w:p w:rsidR="00000000" w:rsidRDefault="001034A9">
      <w:pPr>
        <w:pStyle w:val="ConsPlusNormal"/>
        <w:widowControl/>
        <w:ind w:firstLine="540"/>
        <w:jc w:val="both"/>
      </w:pPr>
      <w:r>
        <w:t>Целесообразно законодательно закрепить порядок признания дохода от реализации такого имущества в налоговом учете на более раннюю из следующих дат:</w:t>
      </w:r>
    </w:p>
    <w:p w:rsidR="00000000" w:rsidRDefault="001034A9">
      <w:pPr>
        <w:pStyle w:val="ConsPlusNormal"/>
        <w:widowControl/>
        <w:ind w:firstLine="540"/>
        <w:jc w:val="both"/>
      </w:pPr>
      <w:r>
        <w:t>- дата передачи по передаточному акту</w:t>
      </w:r>
      <w:r>
        <w:t xml:space="preserve"> или иному документу о передаче недвижимого имущества;</w:t>
      </w:r>
    </w:p>
    <w:p w:rsidR="00000000" w:rsidRDefault="001034A9">
      <w:pPr>
        <w:pStyle w:val="ConsPlusNormal"/>
        <w:widowControl/>
        <w:ind w:firstLine="540"/>
        <w:jc w:val="both"/>
      </w:pPr>
      <w:r>
        <w:t>- дата реализации недвижимого имущества.</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5.2. Уточнение порядка признания убытков в виде безнадежных долгов для целей налогообложения прибыли</w:t>
      </w:r>
    </w:p>
    <w:p w:rsidR="00000000" w:rsidRDefault="001034A9">
      <w:pPr>
        <w:pStyle w:val="ConsPlusNormal"/>
        <w:widowControl/>
        <w:ind w:firstLine="540"/>
        <w:jc w:val="both"/>
      </w:pPr>
      <w:r>
        <w:t>Кодексом не предусмотрено особого порядка признания безнад</w:t>
      </w:r>
      <w:r>
        <w:t>ежными долгов перед налогоплательщиком, подлежащих уплате должником на основании решения суда, вступившего в законную силу.</w:t>
      </w:r>
    </w:p>
    <w:p w:rsidR="00000000" w:rsidRDefault="001034A9">
      <w:pPr>
        <w:pStyle w:val="ConsPlusNormal"/>
        <w:widowControl/>
        <w:ind w:firstLine="540"/>
        <w:jc w:val="both"/>
      </w:pPr>
      <w:r>
        <w:t>При окончании исполнительного производства обязательство должника перед кредитором не прекращается. При этом в связи с тем, что кред</w:t>
      </w:r>
      <w:r>
        <w:t>итором реализовано право на судебную защиту по иску, признание данной задолженности на основании истечения срока исковой давности невозможно.</w:t>
      </w:r>
    </w:p>
    <w:p w:rsidR="00000000" w:rsidRDefault="001034A9">
      <w:pPr>
        <w:pStyle w:val="ConsPlusNormal"/>
        <w:widowControl/>
        <w:ind w:firstLine="540"/>
        <w:jc w:val="both"/>
      </w:pPr>
      <w:r>
        <w:t>В связи с этим необходимо внесение изменения в статью 266 Кодекса в части уточнения, что безнадежными долгами приз</w:t>
      </w:r>
      <w:r>
        <w:t>наются долги, 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 N 229-ФЗ "Об исполнительном про</w:t>
      </w:r>
      <w:r>
        <w:t>изводстве", в случаях:</w:t>
      </w:r>
    </w:p>
    <w:p w:rsidR="00000000" w:rsidRDefault="001034A9">
      <w:pPr>
        <w:pStyle w:val="ConsPlusNormal"/>
        <w:widowControl/>
        <w:ind w:firstLine="540"/>
        <w:jc w:val="both"/>
      </w:pPr>
      <w:r>
        <w:t xml:space="preserve">-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w:t>
      </w:r>
      <w:r>
        <w:t>организациях;</w:t>
      </w:r>
    </w:p>
    <w:p w:rsidR="00000000" w:rsidRDefault="001034A9">
      <w:pPr>
        <w:pStyle w:val="ConsPlusNormal"/>
        <w:widowControl/>
        <w:ind w:firstLine="540"/>
        <w:jc w:val="both"/>
      </w:pPr>
      <w:r>
        <w:t>-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6. Налогообложение природных рес</w:t>
      </w:r>
      <w:r>
        <w:t>урсов</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6.1. Налог на добычу полезных ископаемых (НДПИ), взимаемый при добыче углеводородного сырья (нефти и природного газа)</w:t>
      </w:r>
    </w:p>
    <w:p w:rsidR="00000000" w:rsidRDefault="001034A9">
      <w:pPr>
        <w:pStyle w:val="ConsPlusNormal"/>
        <w:widowControl/>
        <w:ind w:firstLine="540"/>
        <w:jc w:val="both"/>
      </w:pPr>
      <w:r>
        <w:t xml:space="preserve">В целях выравнивания уровня налоговой нагрузки на газовую и нефтяную отрасли в плановом периоде продолжится работа по установлению </w:t>
      </w:r>
      <w:r>
        <w:t xml:space="preserve">дополнительной фискальной нагрузки на газовую отрасль путем дифференциации ставки НДПИ, взимаемого при добыче газа горючего природного. При этом планируется, что в совокупности принимаемые меры по увеличению </w:t>
      </w:r>
      <w:r>
        <w:lastRenderedPageBreak/>
        <w:t xml:space="preserve">доходов федерального бюджета от налогообложения </w:t>
      </w:r>
      <w:r>
        <w:t>газовой и нефтедобывающей отраслей должны привести к увеличению доходов федерального бюджета, поступающих в 2012 году и плановом периоде 2013 и 2014 годов в условиях утвержденного прогноза социально-экономического развития по сравнению с действующим законо</w:t>
      </w:r>
      <w:r>
        <w:t>дательством: в 2012 году - на сумму до 150 млрд. руб., в 2013 году - на сумму до 168,3 млрд. руб. и в 2014 году - на сумму до 185,9 млрд. руб.</w:t>
      </w:r>
    </w:p>
    <w:p w:rsidR="00000000" w:rsidRDefault="001034A9">
      <w:pPr>
        <w:pStyle w:val="ConsPlusNormal"/>
        <w:widowControl/>
        <w:ind w:firstLine="540"/>
        <w:jc w:val="both"/>
      </w:pPr>
      <w:r>
        <w:t>Для этого, в течение 2011 года планируется внести изменения в главу 26 Кодекса, предусматривающие ежегодное увели</w:t>
      </w:r>
      <w:r>
        <w:t>чение ставки НДПИ при добыче газа горючего природного, начиная с 2012 года, для налогоплательщиков, являющихся собственниками объектов Единой системы газоснабжения, а также для налогоплательщиков, в которых суммарная доля участия указанных собственников об</w:t>
      </w:r>
      <w:r>
        <w:t>ъектов Единой системы газоснабжения составляет свыше 50%.</w:t>
      </w:r>
    </w:p>
    <w:p w:rsidR="00000000" w:rsidRDefault="001034A9">
      <w:pPr>
        <w:pStyle w:val="ConsPlusNormal"/>
        <w:widowControl/>
        <w:ind w:firstLine="540"/>
        <w:jc w:val="both"/>
      </w:pPr>
      <w:r>
        <w:t>В случае если, начиная с 1 января 2012 года, будет прекращено действие освобождение поставок природного газа в рамках проекта "Голубой поток", предусмотренное статьей 6 Протокола к Соглашению между Правительством Российской Федерации и Правительством Турец</w:t>
      </w:r>
      <w:r>
        <w:t>кой Республики о поставках российского природного газа в Турецкую Республику через акваторию Черного моря от 15 декабря 1997 года, а также в условиях досрочной отмены применения льготной ставки вывозной таможенной пошлины на нефть, добываемой на Верхнечонс</w:t>
      </w:r>
      <w:r>
        <w:t>ком и Талаканском нефтегазоконденсатных месторождениях, то налогообложение налогом на добычу полезных ископаемых добычи газа горючего природного указанными категориями в 2012 году планируется осуществлять по ставке 431 руб. за 1 000 кубических метров газа,</w:t>
      </w:r>
      <w:r>
        <w:t xml:space="preserve"> в 2013 году - 502 руб. за 1 000 кубических метров газа и с 2014 года - 544 руб. за 1 000 кубических метров газа.</w:t>
      </w:r>
    </w:p>
    <w:p w:rsidR="00000000" w:rsidRDefault="001034A9">
      <w:pPr>
        <w:pStyle w:val="ConsPlusNormal"/>
        <w:widowControl/>
        <w:ind w:firstLine="540"/>
        <w:jc w:val="both"/>
      </w:pPr>
      <w:r>
        <w:t>Иными категориями налогоплательщиков, осуществляющих добычу газа, указанные налоговые ставки будут применяться с понижающими коэффициентами: в</w:t>
      </w:r>
      <w:r>
        <w:t xml:space="preserve"> 2012 году - 0,582, в 2013 году - 0,528, а с 2014 года - 0,511.</w:t>
      </w:r>
    </w:p>
    <w:p w:rsidR="00000000" w:rsidRDefault="001034A9">
      <w:pPr>
        <w:pStyle w:val="ConsPlusNormal"/>
        <w:widowControl/>
        <w:ind w:firstLine="540"/>
        <w:jc w:val="both"/>
      </w:pPr>
      <w:r>
        <w:t>В случае, если указанное выше освобождение поставок природного газа в рамках проекта "Голубой поток" сохранится, что налоговые ставки НДПИ при добыче газа природного горючего, добываемого нало</w:t>
      </w:r>
      <w:r>
        <w:t>гоплательщиками, являющимися собственниками объектов Единой системы газоснабжения, а также налогоплательщиками, в которых суммарная доля участия указанных собственников объектов Единой системы газоснабжения составляет свыше 50%, составят: в 2012 году - 509</w:t>
      </w:r>
      <w:r>
        <w:t xml:space="preserve"> руб. за 1 000 кубических метров газа, в 2013 году - 582 руб. за 1 000 кубических метров газа и в 2014 году - 622 руб. за 1 000 кубических метров газа. При этом иными категориями налогоплательщиков, осуществляющих добычу газа, указанные налоговые ставки бу</w:t>
      </w:r>
      <w:r>
        <w:t>дут применяться с понижающими коэффициентами: в 2012 году - 0,493, в 2013 году - 0,455, а с 2014 года - 0,447.</w:t>
      </w:r>
    </w:p>
    <w:p w:rsidR="00000000" w:rsidRDefault="001034A9">
      <w:pPr>
        <w:pStyle w:val="ConsPlusNormal"/>
        <w:widowControl/>
        <w:ind w:firstLine="540"/>
        <w:jc w:val="both"/>
      </w:pPr>
      <w:r>
        <w:t>В дальнейшем ставка НДПИ при добыче газа горючего природного будет устанавливаться в зависимости от мировой цены на углеводородное сырье по анало</w:t>
      </w:r>
      <w:r>
        <w:t>гии с налогообложением добычи нефти, а также в зависимости от темпов роста внутренних цен на газ.</w:t>
      </w:r>
    </w:p>
    <w:p w:rsidR="00000000" w:rsidRDefault="001034A9">
      <w:pPr>
        <w:pStyle w:val="ConsPlusNormal"/>
        <w:widowControl/>
        <w:ind w:firstLine="540"/>
        <w:jc w:val="both"/>
      </w:pPr>
      <w:r>
        <w:t>В соответствии с одобренными ранее документами, определяющими основные направления налоговой политики в Российской Федерации на трехлетнюю перспективу, необхо</w:t>
      </w:r>
      <w:r>
        <w:t>димо продолжить выработку механизмов перехода в долгосрочной перспективе на налогообложение добычи природных ресурсов на основе результатов финансово-хозяйственной деятельности организации (налог на добавочный доход). Эта форма изъятия ренты представляется</w:t>
      </w:r>
      <w:r>
        <w:t xml:space="preserve"> наиболее эффективной с экономической точки зрения и применяется в налоговых системах ряда развитых нефтедобывающих стран, в частности, в Норвегии, Великобритании и США.</w:t>
      </w:r>
    </w:p>
    <w:p w:rsidR="00000000" w:rsidRDefault="001034A9">
      <w:pPr>
        <w:pStyle w:val="ConsPlusNormal"/>
        <w:widowControl/>
        <w:ind w:firstLine="540"/>
        <w:jc w:val="both"/>
      </w:pPr>
      <w:r>
        <w:t>При этом переход к налогу на добавочный доход, который на первом этапе возможно осущес</w:t>
      </w:r>
      <w:r>
        <w:t>твить лишь для новых месторождений, может повлечь за собой изменение всей системы налогообложения природной ренты - от НДПИ и вывозных таможенных пошлин до акцизов на нефтепродукты.</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6.2. Налог на добычу полезных ископаемых (НДПИ), взимаемый при добыче ины</w:t>
      </w:r>
      <w:r>
        <w:t>х полезных ископаемых</w:t>
      </w:r>
    </w:p>
    <w:p w:rsidR="00000000" w:rsidRDefault="001034A9">
      <w:pPr>
        <w:pStyle w:val="ConsPlusNormal"/>
        <w:widowControl/>
        <w:ind w:firstLine="540"/>
        <w:jc w:val="both"/>
      </w:pPr>
      <w:r>
        <w:t xml:space="preserve">В целях недопущения снижения доходной части бюджетной системы Российской Федерации будут подготовлены предложения о внесении изменений в главу 26 "Налог на добычу полезных ископаемых" Кодекса в части уточнения порядка налогообложения </w:t>
      </w:r>
      <w:r>
        <w:t>НДПИ лечебных грязей.</w:t>
      </w:r>
    </w:p>
    <w:p w:rsidR="00000000" w:rsidRDefault="001034A9">
      <w:pPr>
        <w:pStyle w:val="ConsPlusNormal"/>
        <w:widowControl/>
        <w:ind w:firstLine="540"/>
        <w:jc w:val="both"/>
      </w:pPr>
      <w:r>
        <w:t>С учетом опыта применения специфических ставок НДПИ при добыче угля будут подготовлены предложения об установлении специфических ставок НДПИ по иным видам твердых полезных ископаемых (металлы, соли, строительное сырье и пр.).</w:t>
      </w:r>
    </w:p>
    <w:p w:rsidR="00000000" w:rsidRDefault="001034A9">
      <w:pPr>
        <w:pStyle w:val="ConsPlusNormal"/>
        <w:widowControl/>
        <w:ind w:firstLine="540"/>
        <w:jc w:val="both"/>
      </w:pPr>
      <w:r>
        <w:lastRenderedPageBreak/>
        <w:t>Кроме то</w:t>
      </w:r>
      <w:r>
        <w:t>го, следует проработать вопрос установления ставки по полезным ископаемым, доля экспорта которых превышает 50 процентов, в зависимости от мировых цен на соответствующие полезные ископаемые.</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6.3. Водный налог</w:t>
      </w:r>
    </w:p>
    <w:p w:rsidR="00000000" w:rsidRDefault="001034A9">
      <w:pPr>
        <w:pStyle w:val="ConsPlusNormal"/>
        <w:widowControl/>
        <w:ind w:firstLine="540"/>
        <w:jc w:val="both"/>
      </w:pPr>
      <w:r>
        <w:t>Для приведения положений Кодекса в соответствие</w:t>
      </w:r>
      <w:r>
        <w:t xml:space="preserve"> с законодательством Российской Федерации в области использования подземных водных объектов надлежит подготовить предложения в части уточнения порядка налогообложения водным налогом пользования подземными водными объектами после вступления в силу в 2007 го</w:t>
      </w:r>
      <w:r>
        <w:t>ду новой редакции Водного кодекса Российской Федерации от 3 июня 2006 г. N 74-ФЗ.</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6.4. Сборы за пользование объектами животного мира и за пользование объектами водных биологических ресурсов</w:t>
      </w:r>
    </w:p>
    <w:p w:rsidR="00000000" w:rsidRDefault="001034A9">
      <w:pPr>
        <w:pStyle w:val="ConsPlusNormal"/>
        <w:widowControl/>
        <w:ind w:firstLine="540"/>
        <w:jc w:val="both"/>
      </w:pPr>
      <w:r>
        <w:t>В целях единообразного применения положений пункта 7 статьи 333.3</w:t>
      </w:r>
      <w:r>
        <w:t xml:space="preserve"> главы 25.1 "Сборы за пользование объектами животного мира и за пользование объектами водных биологических ресурсов" Кодекса в части исчисления доли дохода от реализации добытых (выловленных) водных биологических ресурсов и (или) продукции, произведенной и</w:t>
      </w:r>
      <w:r>
        <w:t>з них, в общем доходе от реализации товаров (работ, услуг) градо- и поселкообразующими организациями и российскими рыбохозяйственными организациями в целях применения пониженной ставки сбора за пользование объектами водных биологических ресурсов будут подг</w:t>
      </w:r>
      <w:r>
        <w:t>отовлены предложения о внесении изменений в главу 25.1 Кодекса, уточняющие понятие данного критерия для российских рыбохозяйственных организаций.</w:t>
      </w:r>
    </w:p>
    <w:p w:rsidR="00000000" w:rsidRDefault="001034A9">
      <w:pPr>
        <w:pStyle w:val="ConsPlusNormal"/>
        <w:widowControl/>
        <w:ind w:firstLine="540"/>
        <w:jc w:val="both"/>
      </w:pPr>
      <w:r>
        <w:t>Также нормы законодательства Российской Федерации о налогах и сборах должны быть согласованы с нормами законод</w:t>
      </w:r>
      <w:r>
        <w:t>ательства Российской Федерации, регулирующего отношения в области использования объектов животного мира, вступившего в силу с 2010 года.</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7. Совершенствование налогообложения в рамках специальных налоговых режимов</w:t>
      </w:r>
    </w:p>
    <w:p w:rsidR="00000000" w:rsidRDefault="001034A9">
      <w:pPr>
        <w:pStyle w:val="ConsPlusNormal"/>
        <w:widowControl/>
        <w:ind w:firstLine="540"/>
        <w:jc w:val="both"/>
      </w:pPr>
    </w:p>
    <w:p w:rsidR="00000000" w:rsidRDefault="001034A9">
      <w:pPr>
        <w:pStyle w:val="ConsPlusNormal"/>
        <w:widowControl/>
        <w:ind w:firstLine="540"/>
        <w:jc w:val="both"/>
      </w:pPr>
      <w:r>
        <w:t xml:space="preserve">Реформирование системы налогообложения в </w:t>
      </w:r>
      <w:r>
        <w:t>виде единого налога на вмененный доход для отдельных видов деятельности и упрощенной системы налогообложения на основе патента будет осуществляться по следующим направлениям.</w:t>
      </w:r>
    </w:p>
    <w:p w:rsidR="00000000" w:rsidRDefault="001034A9">
      <w:pPr>
        <w:pStyle w:val="ConsPlusNormal"/>
        <w:widowControl/>
        <w:ind w:firstLine="540"/>
        <w:jc w:val="both"/>
      </w:pPr>
      <w:r>
        <w:t>С 2012 года будет введена в действие новая глава 26.5 "Патентная система налогооб</w:t>
      </w:r>
      <w:r>
        <w:t>ложения" части второй Кодекса. Указанный режим налогообложения будет предназначен для применения индивидуальными предпринимателями.</w:t>
      </w:r>
    </w:p>
    <w:p w:rsidR="00000000" w:rsidRDefault="001034A9">
      <w:pPr>
        <w:pStyle w:val="ConsPlusNormal"/>
        <w:widowControl/>
        <w:ind w:firstLine="540"/>
        <w:jc w:val="both"/>
      </w:pPr>
      <w:r>
        <w:t>Предусматривается постепенное сокращение сферы применения системы налогообложения в виде единого налога на вмененный доход д</w:t>
      </w:r>
      <w:r>
        <w:t>ля отдельных видов деятельности, в частности, с 1 января 2013 года из перечня видов предпринимательской деятельности, которые могут быть переведены на уплату единого налога на вмененный доход, исключаются:</w:t>
      </w:r>
    </w:p>
    <w:p w:rsidR="00000000" w:rsidRDefault="001034A9">
      <w:pPr>
        <w:pStyle w:val="ConsPlusNormal"/>
        <w:widowControl/>
        <w:ind w:firstLine="540"/>
        <w:jc w:val="both"/>
      </w:pPr>
      <w:r>
        <w:t xml:space="preserve">розничная торговля, осуществляемая через магазины </w:t>
      </w:r>
      <w:r>
        <w:t>и павильоны с площадью торгового зала не более 150 квадратных метров по каждому объекту организации торговли;</w:t>
      </w:r>
    </w:p>
    <w:p w:rsidR="00000000" w:rsidRDefault="001034A9">
      <w:pPr>
        <w:pStyle w:val="ConsPlusNormal"/>
        <w:widowControl/>
        <w:ind w:firstLine="540"/>
        <w:jc w:val="both"/>
      </w:pPr>
      <w: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000000" w:rsidRDefault="001034A9">
      <w:pPr>
        <w:pStyle w:val="ConsPlusNormal"/>
        <w:widowControl/>
        <w:ind w:firstLine="540"/>
        <w:jc w:val="both"/>
      </w:pPr>
      <w:r>
        <w:t xml:space="preserve">С 1 января 2014 года система </w:t>
      </w:r>
      <w:r>
        <w:t>налогообложения в виде единого налога на вмененный доход для отдельных видов деятельности отменяется.</w:t>
      </w:r>
    </w:p>
    <w:p w:rsidR="00000000" w:rsidRDefault="001034A9">
      <w:pPr>
        <w:pStyle w:val="ConsPlusNormal"/>
        <w:widowControl/>
        <w:ind w:firstLine="540"/>
        <w:jc w:val="both"/>
      </w:pPr>
      <w:r>
        <w:t>Таким образом, для индивидуальных предпринимателей станет возможным выбор между общим режим налогообложения, упрощенной системой налогообложения или патен</w:t>
      </w:r>
      <w:r>
        <w:t>тной системой налогообложения. Организации, относящиеся к малому бизнесу, смогут при определенных условиях выбирать между применением общей системой налогообложения и упрощенной системой налогообложения.</w:t>
      </w:r>
    </w:p>
    <w:p w:rsidR="00000000" w:rsidRDefault="001034A9">
      <w:pPr>
        <w:pStyle w:val="ConsPlusNormal"/>
        <w:widowControl/>
        <w:ind w:firstLine="540"/>
        <w:jc w:val="both"/>
      </w:pPr>
      <w:r>
        <w:t>При этом будут уточнены размеры ограничений по разме</w:t>
      </w:r>
      <w:r>
        <w:t>ру доходов, дающих право перехода на упрощенную систему налогообложения с 1 января 2013 года и применения указанной системы налогообложения за налоговый период начиная с 2013 года.</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8. Введение налога на недвижимость</w:t>
      </w:r>
    </w:p>
    <w:p w:rsidR="00000000" w:rsidRDefault="001034A9">
      <w:pPr>
        <w:pStyle w:val="ConsPlusNormal"/>
        <w:widowControl/>
        <w:ind w:firstLine="540"/>
        <w:jc w:val="both"/>
      </w:pPr>
    </w:p>
    <w:p w:rsidR="00000000" w:rsidRDefault="001034A9">
      <w:pPr>
        <w:pStyle w:val="ConsPlusNormal"/>
        <w:widowControl/>
        <w:ind w:firstLine="540"/>
        <w:jc w:val="both"/>
      </w:pPr>
      <w:r>
        <w:t>В Бюджетном послании Президента Россий</w:t>
      </w:r>
      <w:r>
        <w:t xml:space="preserve">ской Федерации от 29 июня 2010 года "О бюджетной политике в 2011 - 2013 годах" указывается на необходимость ускорить подготовку </w:t>
      </w:r>
      <w:r>
        <w:lastRenderedPageBreak/>
        <w:t>введения налога на недвижимость, в том числе формирование соответствующих кадастров, а также разработать систему, позволяющую вз</w:t>
      </w:r>
      <w:r>
        <w:t>имать данный налог исходя из рыночной стоимости облагаемого имущества с необлагаемым минимумом для семей с низкими доходами.</w:t>
      </w:r>
    </w:p>
    <w:p w:rsidR="00000000" w:rsidRDefault="001034A9">
      <w:pPr>
        <w:pStyle w:val="ConsPlusNormal"/>
        <w:widowControl/>
        <w:ind w:firstLine="540"/>
        <w:jc w:val="both"/>
      </w:pPr>
      <w:r>
        <w:t>Однако для введения налога на недвижимость необходимо формирование государственного кадастра недвижимости, а также формирование пор</w:t>
      </w:r>
      <w:r>
        <w:t>ядка определения налоговой базы, в качестве которой должна выступать кадастровая стоимость объектов недвижимости. Поэтому для реализации этих целей необходимо проведение работ по кадастровой оценке объектов недвижимости и информационному наполнению государ</w:t>
      </w:r>
      <w:r>
        <w:t>ственного кадастра недвижимости.</w:t>
      </w:r>
    </w:p>
    <w:p w:rsidR="00000000" w:rsidRDefault="001034A9">
      <w:pPr>
        <w:pStyle w:val="ConsPlusNormal"/>
        <w:widowControl/>
        <w:ind w:firstLine="540"/>
        <w:jc w:val="both"/>
      </w:pPr>
      <w:r>
        <w:t>В целях установления общих принципов проведения кадастровой оценки объектов недвижимости и требований к оценщикам, привлекаемым к государственной кадастровой оценке объектов недвижимости, а также определения порядка утвержд</w:t>
      </w:r>
      <w:r>
        <w:t>ения результатов кадастровой оценки и досудебного урегулирования споров о результатах проведения государственной кадастровой оценки объектов недвижимости принят Федеральный закон от 22 июля 2010 г. N 167-ФЗ "О внесении изменений в Федеральный закон "Об оце</w:t>
      </w:r>
      <w:r>
        <w:t>ночной деятельности в Российской Федерации" и отдельные законодательные акты Российской Федерации".</w:t>
      </w:r>
    </w:p>
    <w:p w:rsidR="00000000" w:rsidRDefault="001034A9">
      <w:pPr>
        <w:pStyle w:val="ConsPlusNormal"/>
        <w:widowControl/>
        <w:ind w:firstLine="540"/>
        <w:jc w:val="both"/>
      </w:pPr>
      <w:r>
        <w:t>В соответствии с Планом реализации мероприятий, обеспечивающих введение на территории Российской Федерации местного налога на недвижимость, для введения нал</w:t>
      </w:r>
      <w:r>
        <w:t>ога на недвижимость необходимо завершить в 2012 году проведение работ по массовой оценке объектов капитального строительства.</w:t>
      </w:r>
    </w:p>
    <w:p w:rsidR="00000000" w:rsidRDefault="001034A9">
      <w:pPr>
        <w:pStyle w:val="ConsPlusNormal"/>
        <w:widowControl/>
        <w:ind w:firstLine="540"/>
        <w:jc w:val="both"/>
      </w:pPr>
      <w:r>
        <w:t>В настоящее время основные элементы налогообложения по налогу на недвижимость определены. Проводится работа по установлению размер</w:t>
      </w:r>
      <w:r>
        <w:t>ов налоговых вычетов для определения налоговой базы при исчислении налога на недвижимость.</w:t>
      </w:r>
    </w:p>
    <w:p w:rsidR="00000000" w:rsidRDefault="001034A9">
      <w:pPr>
        <w:pStyle w:val="ConsPlusNormal"/>
        <w:widowControl/>
        <w:ind w:firstLine="540"/>
        <w:jc w:val="both"/>
      </w:pPr>
      <w:r>
        <w:t>Как показывают предварительные расчеты при определении налоговой базы для исчисления налога на недвижимость, физическим лицам - собственникам жилой недвижимости целе</w:t>
      </w:r>
      <w:r>
        <w:t>сообразно предоставлять стандартные и социальные налоговые вычеты.</w:t>
      </w:r>
    </w:p>
    <w:p w:rsidR="00000000" w:rsidRDefault="001034A9">
      <w:pPr>
        <w:pStyle w:val="ConsPlusNormal"/>
        <w:widowControl/>
        <w:ind w:firstLine="540"/>
        <w:jc w:val="both"/>
      </w:pPr>
      <w:r>
        <w:t>Учитывая, что земельный участок и расположенный на нем объект недвижимости являются самостоятельными объектами кадастрового учета, то указанный подход следует применить при исчислении налог</w:t>
      </w:r>
      <w:r>
        <w:t>а, в отношении имущества физических лиц, до перехода к единому объекту недвижимости.</w:t>
      </w:r>
    </w:p>
    <w:p w:rsidR="00000000" w:rsidRDefault="001034A9">
      <w:pPr>
        <w:pStyle w:val="ConsPlusNormal"/>
        <w:widowControl/>
        <w:ind w:firstLine="540"/>
        <w:jc w:val="both"/>
      </w:pPr>
      <w:r>
        <w:t>С включением в Кодекс главы, регулирующей налогообложение недвижимости, налог на недвижимость может быть введен в тех субъектах Российской Федерации, где проведен кадастро</w:t>
      </w:r>
      <w:r>
        <w:t>вый учет объектов недвижимости и утверждены результаты кадастровой оценки объектов недвижимости.</w:t>
      </w:r>
    </w:p>
    <w:p w:rsidR="00000000" w:rsidRDefault="001034A9">
      <w:pPr>
        <w:pStyle w:val="ConsPlusNormal"/>
        <w:widowControl/>
        <w:ind w:firstLine="540"/>
        <w:jc w:val="both"/>
      </w:pPr>
      <w:r>
        <w:t>Также следует рассмотреть вопрос о применении порядка, предлагаемого для исчисления налога на недвижимость, к исчислению налога на недвижимое имущество организ</w:t>
      </w:r>
      <w:r>
        <w:t>аций.</w:t>
      </w:r>
    </w:p>
    <w:p w:rsidR="00000000" w:rsidRDefault="001034A9">
      <w:pPr>
        <w:pStyle w:val="ConsPlusNormal"/>
        <w:widowControl/>
        <w:ind w:firstLine="540"/>
        <w:jc w:val="both"/>
      </w:pPr>
    </w:p>
    <w:p w:rsidR="00000000" w:rsidRDefault="001034A9">
      <w:pPr>
        <w:pStyle w:val="ConsPlusNormal"/>
        <w:widowControl/>
        <w:ind w:firstLine="540"/>
        <w:jc w:val="both"/>
        <w:outlineLvl w:val="1"/>
      </w:pPr>
      <w:r>
        <w:t>9. Налоговое администрирование</w:t>
      </w:r>
    </w:p>
    <w:p w:rsidR="00000000" w:rsidRDefault="001034A9">
      <w:pPr>
        <w:pStyle w:val="ConsPlusNormal"/>
        <w:widowControl/>
        <w:ind w:firstLine="540"/>
        <w:jc w:val="both"/>
      </w:pPr>
    </w:p>
    <w:p w:rsidR="00000000" w:rsidRDefault="001034A9">
      <w:pPr>
        <w:pStyle w:val="ConsPlusNormal"/>
        <w:widowControl/>
        <w:ind w:firstLine="540"/>
        <w:jc w:val="both"/>
      </w:pPr>
      <w:r>
        <w:t>Совершенствование налогового администрирования рассматривается в качестве источника дополнительных поступлений в бюджетную систему налоговых платежей. С другой стороны, создание современной системы налогового админист</w:t>
      </w:r>
      <w:r>
        <w:t>рирования выступает и как способ устранения административных барьеров, создания максимально комфортных условий для исполнения налогоплательщиком своих обязанностей.</w:t>
      </w:r>
    </w:p>
    <w:p w:rsidR="00000000" w:rsidRDefault="001034A9">
      <w:pPr>
        <w:pStyle w:val="ConsPlusNormal"/>
        <w:widowControl/>
        <w:ind w:firstLine="540"/>
        <w:jc w:val="both"/>
      </w:pPr>
      <w:r>
        <w:t xml:space="preserve">Значительным резервом повышения эффективности налогообложения является устранение пробелов </w:t>
      </w:r>
      <w:r>
        <w:t>и неточностей, выявляемых правоприменительной практикой, в законодательном порядке, вплоть до подготовки в среднесрочной перспективе новой редакции соответствующих глав Кодекса.</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9.1. Внедрение инструментов, противодействующих уклонению от уплаты налогов</w:t>
      </w:r>
    </w:p>
    <w:p w:rsidR="00000000" w:rsidRDefault="001034A9">
      <w:pPr>
        <w:pStyle w:val="ConsPlusNormal"/>
        <w:widowControl/>
        <w:ind w:firstLine="540"/>
        <w:jc w:val="both"/>
      </w:pPr>
      <w:r>
        <w:t>С</w:t>
      </w:r>
      <w:r>
        <w:t>тремление налогоплательщика к уменьшению налоговых платежей может приобретать различные формы. При этом допустима законная оптимизация налоговых платежей - такие действия налогоплательщика, которые, хотя и имеют своим следствием неуплату налога либо уменьш</w:t>
      </w:r>
      <w:r>
        <w:t>ение его суммы, но заключаются в использовании предоставленных законом прав, связанных с освобождением на законном основании от уплаты налога или с выбором наиболее выгодных форм предпринимательской деятельности и соответственно - оптимального вида платежа</w:t>
      </w:r>
      <w:r>
        <w:t>.</w:t>
      </w:r>
    </w:p>
    <w:p w:rsidR="00000000" w:rsidRDefault="001034A9">
      <w:pPr>
        <w:pStyle w:val="ConsPlusNormal"/>
        <w:widowControl/>
        <w:ind w:firstLine="540"/>
        <w:jc w:val="both"/>
      </w:pPr>
      <w:r>
        <w:lastRenderedPageBreak/>
        <w:t>Ответственность налогоплательщика предусматривается за такие деяния, которые совершаются умышленно и направлены непосредственно на избежание уплаты законно установленного налога в нарушение закрепленных в законодательстве о налогах и сборах правил.</w:t>
      </w:r>
    </w:p>
    <w:p w:rsidR="00000000" w:rsidRDefault="001034A9">
      <w:pPr>
        <w:pStyle w:val="ConsPlusNormal"/>
        <w:widowControl/>
        <w:ind w:firstLine="540"/>
        <w:jc w:val="both"/>
      </w:pPr>
      <w:r>
        <w:t>Не менее важной представляется проблема квалификации ситуации, когда формальное соблюдение закона налогоплательщиком, то есть совершение им действий, не запрещенных законодательством, приводит к ущербу фискальных интересов государства и муниципальных образ</w:t>
      </w:r>
      <w:r>
        <w:t>ований. Нередко единственной целью использования гражданско-правовых средств ("деловой целью") становится налоговая выгода.</w:t>
      </w:r>
    </w:p>
    <w:p w:rsidR="00000000" w:rsidRDefault="001034A9">
      <w:pPr>
        <w:pStyle w:val="ConsPlusNormal"/>
        <w:widowControl/>
        <w:ind w:firstLine="540"/>
        <w:jc w:val="both"/>
      </w:pPr>
      <w:r>
        <w:t xml:space="preserve">В сложившихся условиях должны быть законодательно закреплены инструменты противодействия злоупотреблению нормами законодательства в </w:t>
      </w:r>
      <w:r>
        <w:t>целях минимизации налогов.</w:t>
      </w:r>
    </w:p>
    <w:p w:rsidR="00000000" w:rsidRDefault="001034A9">
      <w:pPr>
        <w:pStyle w:val="ConsPlusNormal"/>
        <w:widowControl/>
        <w:ind w:firstLine="540"/>
        <w:jc w:val="both"/>
      </w:pPr>
      <w:r>
        <w:t>Особое внимание необходимо уделить критериям, отделяющим законное уменьшение налоговых платежей от избежания от налогообложения, а также процедурам проверки установления "деловой цели".</w:t>
      </w:r>
    </w:p>
    <w:p w:rsidR="00000000" w:rsidRDefault="001034A9">
      <w:pPr>
        <w:pStyle w:val="ConsPlusNormal"/>
        <w:widowControl/>
        <w:ind w:firstLine="540"/>
        <w:jc w:val="both"/>
      </w:pPr>
      <w:r>
        <w:t>Реализация в законодательстве подобного мех</w:t>
      </w:r>
      <w:r>
        <w:t>анизма во многом позволит обеспечить стабильность имущественных отношений, предсказуемость действий участников налоговых отношений.</w:t>
      </w:r>
    </w:p>
    <w:p w:rsidR="00000000" w:rsidRDefault="001034A9">
      <w:pPr>
        <w:pStyle w:val="ConsPlusNormal"/>
        <w:widowControl/>
        <w:ind w:firstLine="540"/>
        <w:jc w:val="both"/>
      </w:pPr>
      <w:r>
        <w:t>Для подготовки соответствующих законодательных положений необходимо использование практики, накопленной арбитражными судами,</w:t>
      </w:r>
      <w:r>
        <w:t xml:space="preserve"> а также зарубежного опыта.</w:t>
      </w:r>
    </w:p>
    <w:p w:rsidR="00000000" w:rsidRDefault="001034A9">
      <w:pPr>
        <w:pStyle w:val="ConsPlusNormal"/>
        <w:widowControl/>
        <w:ind w:firstLine="540"/>
        <w:jc w:val="both"/>
      </w:pPr>
      <w:r>
        <w:t>Успешное решение поставленной задачи будет способствовать реализации принципа всеобщности и равенства налогообложения.</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9.2. Совершенствование порядка уплаты (перечисления) и взыскания налогов и сборов в бюджетную систему Россий</w:t>
      </w:r>
      <w:r>
        <w:t>ской Федерации</w:t>
      </w:r>
    </w:p>
    <w:p w:rsidR="00000000" w:rsidRDefault="001034A9">
      <w:pPr>
        <w:pStyle w:val="ConsPlusNormal"/>
        <w:widowControl/>
        <w:ind w:firstLine="540"/>
        <w:jc w:val="both"/>
      </w:pPr>
      <w:r>
        <w:t>В связи с расширением видов и назначения лицевых счетов, открываемых в соответствии с бюджетным законодательством Российской Федерации в органах Федерального казначейства, финансовых органах субъектов Российской Федерации и муниципальных обр</w:t>
      </w:r>
      <w:r>
        <w:t>азований, требуется уточнить положения Кодекса о взыскании налогов и сборов с организаций, которым открыты такие лицевые счета.</w:t>
      </w:r>
    </w:p>
    <w:p w:rsidR="00000000" w:rsidRDefault="001034A9">
      <w:pPr>
        <w:pStyle w:val="ConsPlusNormal"/>
        <w:widowControl/>
        <w:ind w:firstLine="540"/>
        <w:jc w:val="both"/>
      </w:pPr>
      <w:r>
        <w:t>Требуется также дополнительно проработать вопросы взыскания налогов за счет электронных денег, урегулировать порядок обращения в</w:t>
      </w:r>
      <w:r>
        <w:t>зыскания налогов на денежные средства налогоплательщиков, взыскания налогов с валютных счетов и счетов в драгоценных металлах в банках.</w:t>
      </w:r>
    </w:p>
    <w:p w:rsidR="00000000" w:rsidRDefault="001034A9">
      <w:pPr>
        <w:pStyle w:val="ConsPlusNormal"/>
        <w:widowControl/>
        <w:ind w:firstLine="540"/>
        <w:jc w:val="both"/>
      </w:pPr>
      <w:r>
        <w:t>Кроме того, в период 2012 - 2014 годов предусматривается осуществление следующих мер, в том числе направленных на дальне</w:t>
      </w:r>
      <w:r>
        <w:t>йшее совершенствование налогового администрирования и налогового контроля:</w:t>
      </w:r>
    </w:p>
    <w:p w:rsidR="00000000" w:rsidRDefault="001034A9">
      <w:pPr>
        <w:pStyle w:val="ConsPlusNormal"/>
        <w:widowControl/>
        <w:ind w:firstLine="540"/>
        <w:jc w:val="both"/>
      </w:pPr>
      <w:r>
        <w:t>- расширение использования института "уточнение платежа" в налоговых правоотношениях, создание правовой основы для пересчета пеней в случаях своевременной и полной уплаты (перечисле</w:t>
      </w:r>
      <w:r>
        <w:t>ния) налогов и сборов в бюджетную систему Российской Федерации, а также для своевременного возврата излишне уплаченных (перечисленных) сумм налогов и сборов в бюджетную систему Российской Федерации;</w:t>
      </w:r>
    </w:p>
    <w:p w:rsidR="00000000" w:rsidRDefault="001034A9">
      <w:pPr>
        <w:pStyle w:val="ConsPlusNormal"/>
        <w:widowControl/>
        <w:ind w:firstLine="540"/>
        <w:jc w:val="both"/>
      </w:pPr>
      <w:r>
        <w:t>- совершенствование административной процедуры урегулиров</w:t>
      </w:r>
      <w:r>
        <w:t>ания споров между налоговыми органами и налогоплательщиками, плательщиками сборов, налоговыми агентами.</w:t>
      </w:r>
    </w:p>
    <w:p w:rsidR="00000000" w:rsidRDefault="001034A9">
      <w:pPr>
        <w:pStyle w:val="ConsPlusNormal"/>
        <w:widowControl/>
        <w:ind w:firstLine="540"/>
        <w:jc w:val="both"/>
      </w:pPr>
    </w:p>
    <w:p w:rsidR="00000000" w:rsidRDefault="001034A9">
      <w:pPr>
        <w:pStyle w:val="ConsPlusNormal"/>
        <w:widowControl/>
        <w:ind w:firstLine="540"/>
        <w:jc w:val="both"/>
        <w:outlineLvl w:val="2"/>
      </w:pPr>
      <w:r>
        <w:t>9.3. Ограничение применения льгот, предусмотренных действующими международными договорами об избежании двойного налогообложения</w:t>
      </w:r>
    </w:p>
    <w:p w:rsidR="00000000" w:rsidRDefault="001034A9">
      <w:pPr>
        <w:pStyle w:val="ConsPlusNormal"/>
        <w:widowControl/>
        <w:ind w:firstLine="540"/>
        <w:jc w:val="both"/>
      </w:pPr>
      <w:r>
        <w:t xml:space="preserve">Одной из важнейших мер </w:t>
      </w:r>
      <w:r>
        <w:t xml:space="preserve">в области налоговой политики будет являться внесение изменений в Кодекс в целях противодействия использованию международных налоговых соглашений в неблаговидных целях, а также в целях создания налоговых стимулов для перехода организаций из оффшорных зон в </w:t>
      </w:r>
      <w:r>
        <w:t>юрисдикцию Российской Федерации. В частности, предполагается, что льготы и преференции, предусмотренные действующими международными договорами, участником которых является Российская Федерация, не будут применяться в тех случаях, когда конечными бенефициар</w:t>
      </w:r>
      <w:r>
        <w:t>ами таких льгот и преференций не являются резиденты стран - участников таких договоров. Фактически предлагаемое к внесению в Кодекс положение основано на соответствующей статье Модели конвенции об избежании двойного налогообложения, рекомендуемой Организац</w:t>
      </w:r>
      <w:r>
        <w:t>ией экономического сотрудничества и развития.</w:t>
      </w:r>
    </w:p>
    <w:p w:rsidR="00000000" w:rsidRDefault="001034A9">
      <w:pPr>
        <w:pStyle w:val="ConsPlusNormal"/>
        <w:widowControl/>
        <w:ind w:firstLine="540"/>
        <w:jc w:val="both"/>
      </w:pPr>
    </w:p>
    <w:p w:rsidR="00000000" w:rsidRDefault="001034A9">
      <w:pPr>
        <w:pStyle w:val="ConsPlusNormal"/>
        <w:widowControl/>
        <w:ind w:firstLine="540"/>
        <w:jc w:val="both"/>
      </w:pPr>
    </w:p>
    <w:p w:rsidR="001034A9" w:rsidRDefault="001034A9">
      <w:pPr>
        <w:pStyle w:val="ConsPlusNonformat"/>
        <w:widowControl/>
        <w:pBdr>
          <w:top w:val="single" w:sz="6" w:space="0" w:color="auto"/>
        </w:pBdr>
        <w:rPr>
          <w:sz w:val="2"/>
          <w:szCs w:val="2"/>
        </w:rPr>
      </w:pPr>
    </w:p>
    <w:sectPr w:rsidR="001034A9">
      <w:headerReference w:type="default" r:id="rId7"/>
      <w:footerReference w:type="default" r:id="rId8"/>
      <w:pgSz w:w="11906" w:h="16838" w:code="9"/>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A9" w:rsidRDefault="001034A9">
      <w:pPr>
        <w:spacing w:after="0" w:line="240" w:lineRule="auto"/>
      </w:pPr>
      <w:r>
        <w:separator/>
      </w:r>
    </w:p>
  </w:endnote>
  <w:endnote w:type="continuationSeparator" w:id="0">
    <w:p w:rsidR="001034A9" w:rsidRDefault="0010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34A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067"/>
      <w:gridCol w:w="3260"/>
      <w:gridCol w:w="3068"/>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034A9">
          <w:pPr>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034A9">
          <w:pPr>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034A9">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87A9D">
            <w:rPr>
              <w:rFonts w:ascii="Tahoma" w:hAnsi="Tahoma" w:cs="Tahoma"/>
              <w:sz w:val="20"/>
              <w:szCs w:val="20"/>
            </w:rPr>
            <w:fldChar w:fldCharType="separate"/>
          </w:r>
          <w:r w:rsidR="00087A9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87A9D">
            <w:rPr>
              <w:rFonts w:ascii="Tahoma" w:hAnsi="Tahoma" w:cs="Tahoma"/>
              <w:sz w:val="20"/>
              <w:szCs w:val="20"/>
            </w:rPr>
            <w:fldChar w:fldCharType="separate"/>
          </w:r>
          <w:r w:rsidR="00087A9D">
            <w:rPr>
              <w:rFonts w:ascii="Tahoma" w:hAnsi="Tahoma" w:cs="Tahoma"/>
              <w:noProof/>
              <w:sz w:val="20"/>
              <w:szCs w:val="20"/>
            </w:rPr>
            <w:t>29</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A9" w:rsidRDefault="001034A9">
      <w:pPr>
        <w:spacing w:after="0" w:line="240" w:lineRule="auto"/>
      </w:pPr>
      <w:r>
        <w:separator/>
      </w:r>
    </w:p>
  </w:footnote>
  <w:footnote w:type="continuationSeparator" w:id="0">
    <w:p w:rsidR="001034A9" w:rsidRDefault="00103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177"/>
      <w:gridCol w:w="383"/>
      <w:gridCol w:w="3835"/>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034A9">
          <w:pPr>
            <w:autoSpaceDE w:val="0"/>
            <w:autoSpaceDN w:val="0"/>
            <w:adjustRightInd w:val="0"/>
            <w:spacing w:after="0" w:line="240" w:lineRule="auto"/>
            <w:rPr>
              <w:rFonts w:ascii="Tahoma" w:hAnsi="Tahoma" w:cs="Tahoma"/>
              <w:sz w:val="16"/>
              <w:szCs w:val="16"/>
            </w:rPr>
          </w:pPr>
          <w:r>
            <w:rPr>
              <w:rFonts w:ascii="Tahoma" w:hAnsi="Tahoma" w:cs="Tahoma"/>
              <w:sz w:val="16"/>
              <w:szCs w:val="16"/>
            </w:rPr>
            <w:t>"Основные направления налоговой политики Российской Федерации на 2012 год и на плановый период 2013 и 2014 годов"</w:t>
          </w:r>
          <w:r>
            <w:rPr>
              <w:rFonts w:ascii="Tahoma" w:hAnsi="Tahoma" w:cs="Tahoma"/>
              <w:sz w:val="16"/>
              <w:szCs w:val="16"/>
            </w:rPr>
            <w:t>(одобрено Правительством РФ 07.07.2011)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034A9">
          <w:pPr>
            <w:autoSpaceDE w:val="0"/>
            <w:autoSpaceDN w:val="0"/>
            <w:adjustRightInd w:val="0"/>
            <w:spacing w:after="0" w:line="240" w:lineRule="auto"/>
            <w:jc w:val="center"/>
            <w:rPr>
              <w:rFonts w:ascii="Times New Roman" w:hAnsi="Times New Roman" w:cs="Times New Roman"/>
              <w:sz w:val="24"/>
              <w:szCs w:val="24"/>
            </w:rPr>
          </w:pPr>
        </w:p>
        <w:p w:rsidR="00000000" w:rsidRDefault="001034A9">
          <w:pPr>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034A9">
          <w:pPr>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13.04.2012</w:t>
          </w:r>
        </w:p>
      </w:tc>
    </w:tr>
  </w:tbl>
  <w:p w:rsidR="00000000" w:rsidRDefault="001034A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9D"/>
    <w:rsid w:val="00087A9D"/>
    <w:rsid w:val="00103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16407</Words>
  <Characters>93521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cp:lastModifiedBy>
  <cp:revision>2</cp:revision>
  <dcterms:created xsi:type="dcterms:W3CDTF">2012-04-13T09:28:00Z</dcterms:created>
  <dcterms:modified xsi:type="dcterms:W3CDTF">2012-04-13T09:28:00Z</dcterms:modified>
</cp:coreProperties>
</file>